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2.png" ContentType="image/png"/>
  <Override PartName="/word/media/rId42.png" ContentType="image/png"/>
  <Override PartName="/word/media/rId91.png" ContentType="image/png"/>
  <Override PartName="/word/media/rId127.png" ContentType="image/png"/>
  <Override PartName="/word/media/rId121.png" ContentType="image/png"/>
  <Override PartName="/word/media/rId55.png" ContentType="image/png"/>
  <Override PartName="/word/media/rId95.png" ContentType="image/png"/>
  <Override PartName="/word/media/rId73.png" ContentType="image/png"/>
  <Override PartName="/word/media/rId77.png" ContentType="image/png"/>
  <Override PartName="/word/media/rId82.png" ContentType="image/png"/>
  <Override PartName="/word/media/rId86.png" ContentType="image/png"/>
  <Override PartName="/word/media/rId63.png" ContentType="image/png"/>
  <Override PartName="/word/media/rId132.png" ContentType="image/png"/>
  <Override PartName="/word/media/rId102.png" ContentType="image/png"/>
  <Override PartName="/word/media/rId106.png" ContentType="image/png"/>
  <Override PartName="/word/media/rId110.png" ContentType="image/png"/>
  <Override PartName="/word/media/rId114.png" ContentType="image/png"/>
  <Override PartName="/word/media/rId58.png" ContentType="image/png"/>
  <Override PartName="/word/media/rId67.png" ContentType="image/png"/>
  <Override PartName="/word/media/rId164.png" ContentType="image/png"/>
  <Override PartName="/word/media/rId176.png" ContentType="image/png"/>
  <Override PartName="/word/media/rId157.png" ContentType="image/png"/>
  <Override PartName="/word/media/rId188.png" ContentType="image/png"/>
  <Override PartName="/word/media/rId170.png" ContentType="image/png"/>
  <Override PartName="/word/media/rId183.png" ContentType="image/png"/>
  <Override PartName="/word/media/rId141.png" ContentType="image/png"/>
  <Override PartName="/word/media/rId145.png" ContentType="image/png"/>
  <Override PartName="/word/media/rId149.png" ContentType="image/png"/>
  <Override PartName="/word/media/rId153.png" ContentType="image/png"/>
  <Override PartName="/word/media/rId216.png" ContentType="image/png"/>
  <Override PartName="/word/media/rId220.png" ContentType="image/png"/>
  <Override PartName="/word/media/rId249.png" ContentType="image/png"/>
  <Override PartName="/word/media/rId259.png" ContentType="image/png"/>
  <Override PartName="/word/media/rId267.png" ContentType="image/png"/>
  <Override PartName="/word/media/rId211.png" ContentType="image/png"/>
  <Override PartName="/word/media/rId206.png" ContentType="image/png"/>
  <Override PartName="/word/media/rId241.png" ContentType="image/png"/>
  <Override PartName="/word/media/rId245.png" ContentType="image/png"/>
  <Override PartName="/word/media/rId196.png" ContentType="image/png"/>
  <Override PartName="/word/media/rId235.png" ContentType="image/png"/>
  <Override PartName="/word/media/rId225.png" ContentType="image/png"/>
  <Override PartName="/word/media/rId263.png" ContentType="image/png"/>
  <Override PartName="/word/media/rId275.png" ContentType="image/png"/>
  <Override PartName="/word/media/rId231.png" ContentType="image/png"/>
  <Override PartName="/word/media/rId255.png" ContentType="image/png"/>
  <Override PartName="/word/media/rId202.png" ContentType="image/png"/>
  <Override PartName="/word/media/rId400.png" ContentType="image/png"/>
  <Override PartName="/word/media/rId404.png" ContentType="image/png"/>
  <Override PartName="/word/media/rId415.png" ContentType="image/png"/>
  <Override PartName="/word/media/rId346.png" ContentType="image/png"/>
  <Override PartName="/word/media/rId288.png" ContentType="image/png"/>
  <Override PartName="/word/media/rId355.png" ContentType="image/png"/>
  <Override PartName="/word/media/rId297.png" ContentType="image/png"/>
  <Override PartName="/word/media/rId378.png" ContentType="image/png"/>
  <Override PartName="/word/media/rId383.png" ContentType="image/png"/>
  <Override PartName="/word/media/rId325.png" ContentType="image/png"/>
  <Override PartName="/word/media/rId389.png" ContentType="image/png"/>
  <Override PartName="/word/media/rId335.png" ContentType="image/png"/>
  <Override PartName="/word/media/rId312.png" ContentType="image/png"/>
  <Override PartName="/word/media/rId370.png" ContentType="image/png"/>
  <Override PartName="/word/media/rId308.png" ContentType="image/png"/>
  <Override PartName="/word/media/rId321.png" ContentType="image/png"/>
  <Override PartName="/word/media/rId293.png" ContentType="image/png"/>
  <Override PartName="/word/media/rId284.png" ContentType="image/png"/>
  <Override PartName="/word/media/rId350.png" ContentType="image/png"/>
  <Override PartName="/word/media/rId365.png" ContentType="image/png"/>
  <Override PartName="/word/media/rId317.png" ContentType="image/png"/>
  <Override PartName="/word/media/rId331.png" ContentType="image/png"/>
  <Override PartName="/word/media/rId340.png" ContentType="image/png"/>
  <Override PartName="/word/media/rId394.png" ContentType="image/png"/>
  <Override PartName="/word/media/rId305.png" ContentType="image/png"/>
  <Override PartName="/word/media/rId301.png" ContentType="image/png"/>
  <Override PartName="/word/media/rId441.png" ContentType="image/png"/>
  <Override PartName="/word/media/rId426.png" ContentType="image/png"/>
  <Override PartName="/word/media/rId463.png" ContentType="image/png"/>
  <Override PartName="/word/media/rId460.png" ContentType="image/png"/>
  <Override PartName="/word/media/rId430.png" ContentType="image/png"/>
  <Override PartName="/word/media/rId434.png" ContentType="image/png"/>
  <Override PartName="/word/media/rId449.png" ContentType="image/png"/>
  <Override PartName="/word/media/rId456.png" ContentType="image/png"/>
  <Override PartName="/word/media/rId466.png" ContentType="image/png"/>
  <Override PartName="/word/media/rId471.png" ContentType="image/png"/>
  <Override PartName="/word/media/rId594.png" ContentType="image/png"/>
  <Override PartName="/word/media/rId488.png" ContentType="image/png"/>
  <Override PartName="/word/media/rId508.png" ContentType="image/png"/>
  <Override PartName="/word/media/rId504.png" ContentType="image/png"/>
  <Override PartName="/word/media/rId513.png" ContentType="image/png"/>
  <Override PartName="/word/media/rId555.png" ContentType="image/png"/>
  <Override PartName="/word/media/rId483.png" ContentType="image/png"/>
  <Override PartName="/word/media/rId529.png" ContentType="image/png"/>
  <Override PartName="/word/media/rId579.png" ContentType="image/png"/>
  <Override PartName="/word/media/rId574.png" ContentType="image/png"/>
  <Override PartName="/word/media/rId584.png" ContentType="image/png"/>
  <Override PartName="/word/media/rId520.png" ContentType="image/png"/>
  <Override PartName="/word/media/rId589.png" ContentType="image/png"/>
  <Override PartName="/word/media/rId559.png" ContentType="image/png"/>
  <Override PartName="/word/media/rId540.png" ContentType="image/png"/>
  <Override PartName="/word/media/rId563.png" ContentType="image/png"/>
  <Override PartName="/word/media/rId498.png" ContentType="image/png"/>
  <Override PartName="/word/media/rId478.png" ContentType="image/png"/>
  <Override PartName="/word/media/rId534.png" ContentType="image/png"/>
  <Override PartName="/word/media/rId550.png" ContentType="image/png"/>
  <Override PartName="/word/media/rId525.png" ContentType="image/png"/>
  <Override PartName="/word/media/rId570.png" ContentType="image/png"/>
  <Override PartName="/word/media/rId546.png" ContentType="image/png"/>
  <Override PartName="/word/media/rId494.png" ContentType="image/png"/>
  <Override PartName="/word/media/rId628.png" ContentType="image/png"/>
  <Override PartName="/word/media/rId632.png" ContentType="image/png"/>
  <Override PartName="/word/media/rId610.png" ContentType="image/png"/>
  <Override PartName="/word/media/rId615.png" ContentType="image/png"/>
  <Override PartName="/word/media/rId636.png" ContentType="image/png"/>
  <Override PartName="/word/media/rId604.png" ContentType="image/png"/>
  <Override PartName="/word/media/rId619.png" ContentType="image/png"/>
  <Override PartName="/word/media/rId624.png" ContentType="image/png"/>
  <Override PartName="/word/media/rId640.png" ContentType="image/png"/>
  <Override PartName="/word/media/rId675.png" ContentType="image/png"/>
  <Override PartName="/word/media/rId650.png" ContentType="image/png"/>
  <Override PartName="/word/media/rId660.png" ContentType="image/png"/>
  <Override PartName="/word/media/rId665.png" ContentType="image/png"/>
  <Override PartName="/word/media/rId680.png" ContentType="image/png"/>
  <Override PartName="/word/media/rId655.png" ContentType="image/png"/>
  <Override PartName="/word/media/rId688.png" ContentType="image/png"/>
  <Override PartName="/word/media/rId671.png" ContentType="image/png"/>
  <Override PartName="/word/media/rId702.png" ContentType="image/png"/>
  <Override PartName="/word/media/rId695.png" ContentType="image/png"/>
  <Override PartName="/word/media/rId707.png" ContentType="image/png"/>
  <Override PartName="/word/media/rId28.png" ContentType="image/png"/>
  <Override PartName="/word/media/rId24.png" ContentType="image/png"/>
  <Override PartName="/word/media/rId20.png" ContentType="image/png"/>
  <Override PartName="/word/media/image144.png" ContentType="image/png"/>
  <Override PartName="/word/media/image133.png" ContentType="image/png"/>
  <Override PartName="/word/media/image1.jpg" ContentType="image/jpe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2.png" ContentType="image/png"/>
  <Override PartName="/word/media/image53.png" ContentType="image/png"/>
  <Override PartName="/word/media/image54.png" ContentType="image/png"/>
  <Override PartName="/word/media/image55.png" ContentType="image/png"/>
  <Override PartName="/word/media/image56.png" ContentType="image/png"/>
  <Override PartName="/word/media/image57.png" ContentType="image/png"/>
  <Override PartName="/word/media/image58.png" ContentType="image/png"/>
  <Override PartName="/word/media/image59.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69.png" ContentType="image/png"/>
  <Override PartName="/word/media/image70.png" ContentType="image/png"/>
  <Override PartName="/word/media/image71.png" ContentType="image/png"/>
  <Override PartName="/word/media/image72.png" ContentType="image/png"/>
  <Override PartName="/word/media/image73.png" ContentType="image/png"/>
  <Override PartName="/word/media/image74.png" ContentType="image/png"/>
  <Override PartName="/word/media/image75.png" ContentType="image/png"/>
  <Override PartName="/word/media/image76.png" ContentType="image/png"/>
  <Override PartName="/word/media/image77.png" ContentType="image/png"/>
  <Override PartName="/word/media/image78.png" ContentType="image/png"/>
  <Override PartName="/word/media/image79.png" ContentType="image/png"/>
  <Override PartName="/word/media/image80.png" ContentType="image/png"/>
  <Override PartName="/word/media/image81.png" ContentType="image/png"/>
  <Override PartName="/word/media/image82.png" ContentType="image/png"/>
  <Override PartName="/word/media/image83.png" ContentType="image/png"/>
  <Override PartName="/word/media/image84.png" ContentType="image/png"/>
  <Override PartName="/word/media/image85.png" ContentType="image/png"/>
  <Override PartName="/word/media/image86.png" ContentType="image/png"/>
  <Override PartName="/word/media/image87.png" ContentType="image/png"/>
  <Override PartName="/word/media/image88.png" ContentType="image/png"/>
  <Override PartName="/word/media/image89.png" ContentType="image/png"/>
  <Override PartName="/word/media/image90.png" ContentType="image/png"/>
  <Override PartName="/word/media/image91.png" ContentType="image/png"/>
  <Override PartName="/word/media/image92.png" ContentType="image/png"/>
  <Override PartName="/word/media/image93.png" ContentType="image/png"/>
  <Override PartName="/word/media/image94.png" ContentType="image/png"/>
  <Override PartName="/word/media/image95.png" ContentType="image/png"/>
  <Override PartName="/word/media/image96.png" ContentType="image/png"/>
  <Override PartName="/word/media/image97.png" ContentType="image/png"/>
  <Override PartName="/word/media/image98.png" ContentType="image/png"/>
  <Override PartName="/word/media/image99.png" ContentType="image/png"/>
  <Override PartName="/word/media/image100.png" ContentType="image/png"/>
  <Override PartName="/word/media/image101.png" ContentType="image/png"/>
  <Override PartName="/word/media/image102.png" ContentType="image/png"/>
  <Override PartName="/word/media/image103.png" ContentType="image/png"/>
  <Override PartName="/word/media/image104.png" ContentType="image/png"/>
  <Override PartName="/word/media/image105.png" ContentType="image/png"/>
  <Override PartName="/word/media/image106.png" ContentType="image/png"/>
  <Override PartName="/word/media/image107.png" ContentType="image/png"/>
  <Override PartName="/word/media/image108.png" ContentType="image/png"/>
  <Override PartName="/word/media/image109.png" ContentType="image/png"/>
  <Override PartName="/word/media/image110.png" ContentType="image/png"/>
  <Override PartName="/word/media/image111.png" ContentType="image/png"/>
  <Override PartName="/word/media/image112.png" ContentType="image/png"/>
  <Override PartName="/word/media/image114.png" ContentType="image/png"/>
  <Override PartName="/word/media/image115.png" ContentType="image/png"/>
  <Override PartName="/word/media/image116.png" ContentType="image/png"/>
  <Override PartName="/word/media/image117.png" ContentType="image/png"/>
  <Override PartName="/word/media/image118.png" ContentType="image/png"/>
  <Override PartName="/word/media/image119.png" ContentType="image/png"/>
  <Override PartName="/word/media/image120.png" ContentType="image/png"/>
  <Override PartName="/word/media/image121.png" ContentType="image/png"/>
  <Override PartName="/word/media/image122.png" ContentType="image/png"/>
  <Override PartName="/word/media/image123.png" ContentType="image/png"/>
  <Override PartName="/word/media/image124.png" ContentType="image/png"/>
  <Override PartName="/word/media/image125.png" ContentType="image/png"/>
  <Override PartName="/word/media/image126.png" ContentType="image/png"/>
  <Override PartName="/word/media/image127.png" ContentType="image/png"/>
  <Override PartName="/word/media/image128.png" ContentType="image/png"/>
  <Override PartName="/word/media/image129.png" ContentType="image/png"/>
  <Override PartName="/word/media/image130.png" ContentType="image/png"/>
  <Override PartName="/word/media/image131.png" ContentType="image/png"/>
  <Override PartName="/word/media/image132.png" ContentType="image/png"/>
  <Override PartName="/word/media/image113.png" ContentType="image/png"/>
  <Override PartName="/word/media/image134.png" ContentType="image/png"/>
  <Override PartName="/word/media/image135.png" ContentType="image/png"/>
  <Override PartName="/word/media/image136.png" ContentType="image/png"/>
  <Override PartName="/word/media/image137.png" ContentType="image/png"/>
  <Override PartName="/word/media/image138.png" ContentType="image/png"/>
  <Override PartName="/word/media/image139.png" ContentType="image/png"/>
  <Override PartName="/word/media/image140.png" ContentType="image/png"/>
  <Override PartName="/word/media/image141.png" ContentType="image/png"/>
  <Override PartName="/word/media/image142.png" ContentType="image/png"/>
  <Override PartName="/word/media/image14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re"/>
      </w:pPr>
      <w:r>
        <w:t xml:space="preserve">Campagne 2025 de l’Observatoire rural de Marovoay</w:t>
      </w:r>
    </w:p>
    <w:p>
      <w:pPr>
        <w:pStyle w:val="Sous-titre"/>
      </w:pPr>
      <w:r>
        <w:t xml:space="preserve">Rapport d’enquête</w:t>
      </w:r>
    </w:p>
    <w:p>
      <w:pPr>
        <w:pStyle w:val="Author"/>
      </w:pPr>
      <w:r>
        <w:t xml:space="preserve">Veromanitra Ramizason</w:t>
      </w:r>
    </w:p>
    <w:p>
      <w:pPr>
        <w:pStyle w:val="Author"/>
      </w:pPr>
      <w:r>
        <w:t xml:space="preserve">Bezaka Rivolala</w:t>
      </w:r>
    </w:p>
    <w:p>
      <w:pPr>
        <w:pStyle w:val="Author"/>
      </w:pPr>
      <w:r>
        <w:t xml:space="preserve">Thierry Razanakoto</w:t>
      </w:r>
    </w:p>
    <w:p>
      <w:pPr>
        <w:pStyle w:val="Author"/>
      </w:pPr>
      <w:r>
        <w:t xml:space="preserve">Holimalala Randriamanampisoa</w:t>
      </w:r>
    </w:p>
    <w:p>
      <w:pPr>
        <w:pStyle w:val="Author"/>
      </w:pPr>
      <w:r>
        <w:t xml:space="preserve">Florent Bédécarrats</w:t>
      </w:r>
    </w:p>
    <w:p>
      <w:pPr>
        <w:pStyle w:val="Date"/>
      </w:pPr>
      <w:r>
        <w:t xml:space="preserve">2026-03-24</w:t>
      </w:r>
    </w:p>
    <w:p xmlns:w="http://schemas.openxmlformats.org/wordprocessingml/2006/main" xmlns:r="http://schemas.openxmlformats.org/officeDocument/2006/relationships" xmlns:wp="http://schemas.openxmlformats.org/drawingml/2006/wordprocessingDrawing" xmlns:a="http://schemas.openxmlformats.org/drawingml/2006/main" xmlns:pic="http://schemas.openxmlformats.org/drawingml/2006/picture">
      <w:pPr>
        <w:jc w:val="center"/>
        <w:spacing w:before="1440"/>
      </w:pPr>
      <w:r>
        <w:drawing>
          <wp:inline distT="0" distB="0" distL="0" distR="0">
            <wp:extent cx="5943000" cy="3955809"/>
            <wp:effectExtent b="0" l="0" r="0" t="0"/>
            <wp:docPr id="9999" name="CoverImage" descr="Photo de couverture"/>
            <a:graphic>
              <a:graphicData uri="http://schemas.openxmlformats.org/drawingml/2006/picture">
                <pic:pic>
                  <pic:nvPicPr>
                    <pic:cNvPr id="9998" name="CoverImage"/>
                    <pic:cNvPicPr>
                      <a:picLocks noChangeAspect="1"/>
                    </pic:cNvPicPr>
                  </pic:nvPicPr>
                  <pic:blipFill>
                    <a:blip r:embed="rId708"/>
                    <a:stretch>
                      <a:fillRect/>
                    </a:stretch>
                  </pic:blipFill>
                  <pic:spPr>
                    <a:xfrm>
                      <a:off x="0" y="0"/>
                      <a:ext cx="5943000" cy="3955809"/>
                    </a:xfrm>
                    <a:prstGeom prst="rect">
                      <a:avLst/>
                    </a:prstGeom>
                  </pic:spPr>
                </pic:pic>
              </a:graphicData>
            </a:graphic>
          </wp:inline>
        </w:drawing>
      </w:r>
    </w:p>
    <w:p xmlns:w="http://schemas.openxmlformats.org/wordprocessingml/2006/main">
      <w:pPr>
        <w:jc w:val="center"/>
        <w:spacing w:before="120"/>
      </w:pPr>
      <w:r>
        <w:rPr>
          <w:i/>
          <w:sz w:val="18"/>
          <w:szCs w:val="18"/>
        </w:rPr>
        <w:t xml:space="preserve">Rizière dans la région d’Alaotra Mangoro. Photo : Leja Mitarika / NJProduction, CC BY-SA 4.0, via Wikimedia Commons.</w:t>
      </w:r>
    </w:p>
    <w:p xmlns:w="http://schemas.openxmlformats.org/wordprocessingml/2006/main">
      <w:r>
        <w:br w:type="page"/>
      </w:r>
    </w:p>
    <w:sdt>
      <w:sdtPr>
        <w:docPartObj>
          <w:docPartGallery w:val="Table of Contents"/>
          <w:docPartUnique/>
        </w:docPartObj>
      </w:sdtPr>
      <w:sdtContent>
        <w:p>
          <w:pPr>
            <w:pStyle w:val="En-ttedetabledesmatires"/>
          </w:pPr>
          <w:r>
            <w:t xml:space="preserve">Table des matières</w:t>
          </w:r>
        </w:p>
        <w:p>
          <w:r>
            <w:fldChar w:fldCharType="begin" w:dirty="true"/>
            <w:instrText xml:space="preserve">TOC \o "1-3" \h \z \u</w:instrText>
            <w:fldChar w:fldCharType="separate"/>
            <w:fldChar w:fldCharType="end"/>
          </w:r>
        </w:p>
      </w:sdtContent>
    </w:sdt>
    <w:bookmarkStart w:id="23" w:name="introduction"/>
    <w:p>
      <w:pPr>
        <w:pStyle w:val="Titre1"/>
      </w:pPr>
      <w:r>
        <w:t xml:space="preserve">Introduction</w:t>
      </w:r>
    </w:p>
    <w:p>
      <w:pPr>
        <w:pStyle w:val="FirstParagraph"/>
      </w:pPr>
      <w:r>
        <w:t xml:space="preserve">Les observatoires ruraux constituent un dispositif original de collecte de données longitudinales mis en place à Madagascar à partir de 1995 afin de documenter les conditions de vie des ménages ruraux et leurs dynamiques dans le temps. Reposant sur des enquêtes répétées auprès des mêmes localités, ils combinent des questionnaires ménages standardisés et des enquêtes communautaires qualitatives, permettant d’articuler analyse statistique et compréhension fine des contextes locaux.</w:t>
      </w:r>
    </w:p>
    <w:p>
      <w:pPr>
        <w:pStyle w:val="Corpsdetexte"/>
      </w:pPr>
      <w:r>
        <w:t xml:space="preserve">Entre 1995 et 2015, ce dispositif a couvert 26 zones contrastées, reflétant la diversité des systèmes agraires, des environnements écologiques et des contraintes socio-économiques du pays. Les données produites documentent de manière détaillée la composition des ménages, leurs activités, leurs revenus, leurs pratiques agricoles, ainsi que les transformations des économies rurales sur plus de deux décennies.</w:t>
      </w:r>
    </w:p>
    <w:p>
      <w:pPr>
        <w:pStyle w:val="CaptionedFigure"/>
      </w:pPr>
      <w:r>
        <w:drawing>
          <wp:inline>
            <wp:extent cx="5969000" cy="4178299"/>
            <wp:effectExtent b="0" l="0" r="0" t="0"/>
            <wp:docPr descr="Carte historique des observatoires ruraux à Madagascar" title="" id="21" name="Picture"/>
            <a:graphic>
              <a:graphicData uri="http://schemas.openxmlformats.org/drawingml/2006/picture">
                <pic:pic>
                  <pic:nvPicPr>
                    <pic:cNvPr descr="images/carte_historique_nat_or.png" id="22" name="Picture"/>
                    <pic:cNvPicPr>
                      <a:picLocks noChangeArrowheads="1" noChangeAspect="1"/>
                    </pic:cNvPicPr>
                  </pic:nvPicPr>
                  <pic:blipFill>
                    <a:blip r:embed="rId20"/>
                    <a:stretch>
                      <a:fillRect/>
                    </a:stretch>
                  </pic:blipFill>
                  <pic:spPr bwMode="auto">
                    <a:xfrm>
                      <a:off x="0" y="0"/>
                      <a:ext cx="5969000" cy="4178299"/>
                    </a:xfrm>
                    <a:prstGeom prst="rect">
                      <a:avLst/>
                    </a:prstGeom>
                    <a:noFill/>
                    <a:ln w="9525">
                      <a:noFill/>
                      <a:headEnd/>
                      <a:tailEnd/>
                    </a:ln>
                  </pic:spPr>
                </pic:pic>
              </a:graphicData>
            </a:graphic>
          </wp:inline>
        </w:drawing>
      </w:r>
    </w:p>
    <w:p>
      <w:pPr>
        <w:pStyle w:val="ImageCaption"/>
      </w:pPr>
      <w:r>
        <w:t xml:space="preserve">Carte historique des observatoires ruraux à Madagascar</w:t>
      </w:r>
    </w:p>
    <w:p>
      <w:pPr>
        <w:pStyle w:val="Corpsdetexte"/>
      </w:pPr>
      <w:r>
        <w:t xml:space="preserve">La campagne 2025 s’inscrit dans cette continuité tout en introduisant des évolutions méthodologiques. Elle repose sur une articulation étroite entre enquêtes quantitatives auprès des ménages et enquêtes communautaires visant à documenter les contextes locaux (pratiques agricoles, accès aux intrants, sécurité, gouvernance locale). Les protocoles de terrain intègrent également des exigences renforcées en matière d’éthique, de consentement éclairé et d’interaction avec les autorités locales à différents niveaux administratifs.</w:t>
      </w:r>
    </w:p>
    <w:p>
      <w:pPr>
        <w:pStyle w:val="Corpsdetexte"/>
      </w:pPr>
      <w:r>
        <w:t xml:space="preserve">Dans le cadre du projet BETSAKA, ce dispositif est aujourd’hui réactivé afin d’analyser les effets de long terme des politiques de conservation, en particulier des aires protégées, sur les conditions de vie des populations et les dynamiques environnementales. Le projet s’appuie sur une combinaison de données historiques, d’images satellitaires et de nouvelles enquêtes de terrain pour étudier conjointement déforestation, feux et trajectoires socio-économiques.</w:t>
      </w:r>
    </w:p>
    <w:p>
      <w:pPr>
        <w:pStyle w:val="Corpsdetexte"/>
      </w:pPr>
      <w:r>
        <w:t xml:space="preserve">Ce document présente le traitement et l’analyse des données des observatoires ruraux d’Alaotra et de Marovoay pour la campagne 2025. La période de référence s’étend d’octobre 2024 à septembre 2025. Ces données ont été récoltées afin d’étudier l’évaluation d’impact de la conservation sur les conditions de vie des ménages aux alentours des aires protégées.</w:t>
      </w:r>
    </w:p>
    <w:p>
      <w:pPr>
        <w:pStyle w:val="Corpsdetexte"/>
      </w:pPr>
      <w:r>
        <w:t xml:space="preserve">Ce site propose une documentation structurée de ce dispositif. Les chapitres suivants détaillent successivement les principes méthodologiques des observatoires, l’organisation de la collecte, les instruments d’enquête et les choix opérés pour la campagne 2025. L’objectif est double : assurer la transparence du dispositif et faciliter la réutilisation des données, tout en rendant explicites les arbitrages méthodologiques qui conditionnent leur interprétation.</w:t>
      </w:r>
    </w:p>
    <w:bookmarkEnd w:id="23"/>
    <w:bookmarkStart w:id="49" w:name="description-de-lenquête"/>
    <w:p>
      <w:pPr>
        <w:pStyle w:val="Titre1"/>
      </w:pPr>
      <w:r>
        <w:t xml:space="preserve">1. Description de l’enquête</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5" name="Picture"/>
                  <a:graphic>
                    <a:graphicData uri="http://schemas.openxmlformats.org/drawingml/2006/picture">
                      <pic:pic>
                        <pic:nvPicPr>
                          <pic:cNvPr descr="C:\Users\fbede\AppData\Local\Programs\Quarto\share\formats\docx\warning.png" id="26"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27" w:name="contexte-et-objectifs"/>
    <w:p>
      <w:pPr>
        <w:pStyle w:val="Titre2"/>
      </w:pPr>
      <w:r>
        <w:t xml:space="preserve">1.1 Contexte et objectifs</w:t>
      </w:r>
    </w:p>
    <w:p>
      <w:pPr>
        <w:pStyle w:val="FirstParagraph"/>
      </w:pPr>
      <w:r>
        <w:t xml:space="preserve">Les Observatoires Ruraux (OR) de Madagascar sont un dispositif d’enquête longitudinale auprès de ménages ruraux, mis en place à partir de 1995 dans le cadre du réseau des observatoires ruraux coordonné par l’IRD et l’INSTAT, puis le Ministère de l’agriculture. Deux OR font l’objet de cette campagne d’enquête en 2025 :</w:t>
      </w:r>
    </w:p>
    <w:p>
      <w:pPr>
        <w:pStyle w:val="Compact"/>
        <w:numPr>
          <w:ilvl w:val="0"/>
          <w:numId w:val="1001"/>
        </w:numPr>
      </w:pPr>
      <w:r>
        <w:rPr>
          <w:b/>
          <w:bCs/>
        </w:rPr>
        <w:t xml:space="preserve">Marovoay</w:t>
      </w:r>
      <w:r>
        <w:t xml:space="preserve"> </w:t>
      </w:r>
      <w:r>
        <w:t xml:space="preserve">, situé dans la région Boeny, dans le district de Marovoay. Marovoay constitue le deuxième pôle rizicole du pays, avec une production reposant sur l’irrigation par les eaux du fleuve Betsiboka. L’observatoire de Marovoay est situé dans la plaine alluviale du fleuve Betsiboka, au nord-ouest de Madagascar. La zone d’enquête s’organise autour de quatre fokontany — Ampijoroa et Maroala sur la rive gauche, Bepako et Madiromiongana sur la rive droite — séparés par le fleuve. La proximité du Parc national d’Ankarafantsika, dont les limites ont été étendues en 2002, confère à cette zone un intérêt particulier pour l’étude des interactions entre conservation et développement rural. L’économie locale repose principalement sur la riziculture irriguée, complétée par l’élevage bovin et les cultures de rente.</w:t>
      </w:r>
    </w:p>
    <w:p>
      <w:pPr>
        <w:pStyle w:val="FirstParagraph"/>
      </w:pPr>
      <w:r>
        <w:t xml:space="preserve">Ces enquêtes d’observatoires ruraux ont été menées de manière régulière entre 1995 et 2014 (Marovoay) et 1999 et 2014 (Alaotra), avec une seule interruption l’année 2009 en raison de la crise politique qui a secoué le pays. La campagne 2025, réalisée par le projet BETSAKA, renoue avec ce suivi après une interruption de plus de dix ans. L’enquête conserve les instruments et la méthodologie des campagnes antérieures, tout en reprenant des ajustements faits dans le cadre de l’observatoire du Makay en 2022 et 2024, et en les adaptant au contexte actuel.</w:t>
      </w:r>
    </w:p>
    <w:p>
      <w:pPr>
        <w:pStyle w:val="Corpsdetexte"/>
      </w:pPr>
      <w:r>
        <w:t xml:space="preserve">Les principales modifications du questionnaire concernent :</w:t>
      </w:r>
      <w:r>
        <w:t xml:space="preserve"> </w:t>
      </w:r>
      <w:r>
        <w:t xml:space="preserve">- la suppression du module dédié aux dépenses, qui était très long à administrer et qui avait peu été exploité dans le passé ;</w:t>
      </w:r>
      <w:r>
        <w:t xml:space="preserve"> </w:t>
      </w:r>
      <w:r>
        <w:t xml:space="preserve">- l’introduction de nouveaux modules sur les événements climatiques extrêmes, la sécurité alimentaire, les stratégies d’adaptation au changement climatique.</w:t>
      </w:r>
    </w:p>
    <w:p>
      <w:pPr>
        <w:pStyle w:val="Corpsdetexte"/>
      </w:pPr>
      <w:r>
        <w:t xml:space="preserve">La période de référence couvre les douze mois précédant l’interview, soit du 1</w:t>
      </w:r>
      <w:r>
        <w:rPr>
          <w:vertAlign w:val="superscript"/>
        </w:rPr>
        <w:t xml:space="preserve">er</w:t>
      </w:r>
      <w:r>
        <w:t xml:space="preserve"> </w:t>
      </w:r>
      <w:r>
        <w:t xml:space="preserve">octobre 2024 au 30 septembre 2025.</w:t>
      </w:r>
    </w:p>
    <w:bookmarkEnd w:id="27"/>
    <w:bookmarkStart w:id="31" w:name="méthodologie"/>
    <w:p>
      <w:pPr>
        <w:pStyle w:val="Titre2"/>
      </w:pPr>
      <w:r>
        <w:t xml:space="preserve">1.2 Méthodologie</w:t>
      </w:r>
    </w:p>
    <w:p>
      <w:pPr>
        <w:pStyle w:val="FirstParagraph"/>
      </w:pPr>
      <w:r>
        <w:t xml:space="preserve">L’enquête reprend le protocole des campagnes antérieures des Observatoires Ruraux. Le questionnaire ménage couvre l’ensemble des dimensions socio-économiques : démographie, habitat, activités agricoles et non agricoles, foncier, revenus, sécurité alimentaire, environnement et événements climatiques.</w:t>
      </w:r>
    </w:p>
    <w:p>
      <w:pPr>
        <w:pStyle w:val="Corpsdetexte"/>
      </w:pPr>
      <w:r>
        <w:t xml:space="preserve">Les unités d’observation sont les ménages résidant dans les hameaux échantillonnés. L’échantillon de 2025 vise à reconstituer autant que possible le panel de ménages suivis lors des campagnes précédentes, complété par de nouveaux ménages en remplacement de ceux ayant quitté la zone ou disparus.</w:t>
      </w:r>
    </w:p>
    <w:p>
      <w:pPr>
        <w:pStyle w:val="Corpsdetexte"/>
      </w:pPr>
      <w:r>
        <w:t xml:space="preserve">Les enquêteurs ont été formés par les superviseurs avant le déploiement sur le terrain. La saisie des données a été réalisée à l’aide de masques de saisie dédiés.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Corpsdetexte"/>
            </w:pPr>
            <w:pPr>
              <w:spacing w:before="0" w:after="0"/>
              <w:textAlignment w:val="center"/>
            </w:pPr>
            <w:r>
              <w:drawing>
                <wp:inline>
                  <wp:extent cx="152400" cy="152400"/>
                  <wp:effectExtent b="0" l="0" r="0" t="0"/>
                  <wp:docPr descr="" title="" id="29" name="Picture"/>
                  <a:graphic>
                    <a:graphicData uri="http://schemas.openxmlformats.org/drawingml/2006/picture">
                      <pic:pic>
                        <pic:nvPicPr>
                          <pic:cNvPr descr="C:\Users\fbede\AppData\Local\Programs\Quarto\share\formats\docx\note.png" id="30" name="Picture"/>
                          <pic:cNvPicPr>
                            <a:picLocks noChangeArrowheads="1" noChangeAspect="1"/>
                          </pic:cNvPicPr>
                        </pic:nvPicPr>
                        <pic:blipFill>
                          <a:blip r:embed="rId2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Corpsdetexte"/>
            </w:pPr>
            <w:pPr>
              <w:spacing w:before="16" w:after="16"/>
            </w:pPr>
            <w:r>
              <w:t xml:space="preserve">Le protocole éthique de l’enquête a fait l’objet d’une approbation. Il est présenté en annexe du rapport.</w:t>
            </w:r>
          </w:p>
          <w:p/>
        </w:tc>
      </w:tr>
    </w:tbl>
    <w:bookmarkEnd w:id="31"/>
    <w:bookmarkStart w:id="35" w:name="localisation-des-sites-enquêtés"/>
    <w:p>
      <w:pPr>
        <w:pStyle w:val="Titre2"/>
      </w:pPr>
      <w:r>
        <w:t xml:space="preserve">1.3 Localisation des sites enquêtés</w:t>
      </w:r>
    </w:p>
    <w:p>
      <w:pPr>
        <w:pStyle w:val="FirstParagraph"/>
      </w:pPr>
      <w:r>
        <w:t xml:space="preserve">Les coordonnées GPS des hameaux enquêtés ont été relevées lors de la campagne. La carte ci-dessous présente la localisation approximative de chaque fokontany, calculée comme le centroïde des hameaux qui le composent.</w:t>
      </w:r>
    </w:p>
    <w:p>
      <w:pPr>
        <w:pStyle w:val="CaptionedFigure"/>
      </w:pPr>
      <w:r>
        <w:drawing>
          <wp:inline>
            <wp:extent cx="4620126" cy="3696101"/>
            <wp:effectExtent b="0" l="0" r="0" t="0"/>
            <wp:docPr descr="Localisation approximative des fokontany enquêtés (centroïde des hameaux)" title="" id="33" name="Picture"/>
            <a:graphic>
              <a:graphicData uri="http://schemas.openxmlformats.org/drawingml/2006/picture">
                <pic:pic>
                  <pic:nvPicPr>
                    <pic:cNvPr descr="01_description_files/figure-docx/carte_sites-1.png" id="34" name="Picture"/>
                    <pic:cNvPicPr>
                      <a:picLocks noChangeArrowheads="1" noChangeAspect="1"/>
                    </pic:cNvPicPr>
                  </pic:nvPicPr>
                  <pic:blipFill>
                    <a:blip r:embed="rId32"/>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Localisation approximative des fokontany enquêtés (centroïde des hameaux)</w:t>
      </w:r>
    </w:p>
    <w:bookmarkEnd w:id="35"/>
    <w:bookmarkStart w:id="41" w:name="ménages-enquêtés"/>
    <w:p>
      <w:pPr>
        <w:pStyle w:val="Titre2"/>
      </w:pPr>
      <w:r>
        <w:t xml:space="preserve">1.4 Ménages enquêtés</w:t>
      </w:r>
    </w:p>
    <w:p>
      <w:pPr>
        <w:pStyle w:val="FirstParagraph"/>
      </w:pPr>
      <w:r>
        <w:t xml:space="preserve">Au total, 1026 ménages ont été enquêtés : 519 à Marovoay et 507 à Alaotra. Voir</w:t>
      </w:r>
      <w:r>
        <w:t xml:space="preserve"> </w:t>
      </w:r>
      <w:hyperlink w:anchor="tbl-men-obs">
        <w:r>
          <w:rPr>
            <w:rStyle w:val="Lienhypertexte"/>
          </w:rPr>
          <w:t xml:space="preserve">Table 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6" w:name="tbl-men-obs"/>
          <w:p>
            <w:pPr>
              <w:jc w:val="center"/>
            </w:pPr>
            <w:pPr>
              <w:jc w:val="left"/>
              <w:spacing w:before="200"/>
              <w:pStyle w:val="ImageCaption"/>
            </w:pPr>
            <w:r>
              <w:t xml:space="preserve">Table 1.1: Répartition des ménages et des individus selon les observatoires</w:t>
            </w:r>
          </w:p>
          <w:bookmarkEnd w:id="36"/>
        </w:tc>
      </w:tr>
    </w:tbl>
    <w:bookmarkStart w:id="38" w:name="dénombrement-et-taux-de-sondage"/>
    <w:p>
      <w:pPr>
        <w:pStyle w:val="Titre3"/>
      </w:pPr>
      <w:r>
        <w:t xml:space="preserve">1.4.1 Dénombrement et taux de sondage</w:t>
      </w:r>
    </w:p>
    <w:p>
      <w:pPr>
        <w:pStyle w:val="FirstParagraph"/>
      </w:pPr>
      <w:r>
        <w:t xml:space="preserve">Le dénombrement préalable à l’enquête a recensé l’ensemble des ménages résidant dans les hameaux échantillonnés. Le</w:t>
      </w:r>
      <w:r>
        <w:t xml:space="preserve"> </w:t>
      </w:r>
      <w:hyperlink w:anchor="tbl-denombrement">
        <w:r>
          <w:rPr>
            <w:rStyle w:val="Lienhypertexte"/>
          </w:rPr>
          <w:t xml:space="preserve">Table 1.2</w:t>
        </w:r>
      </w:hyperlink>
      <w:r>
        <w:t xml:space="preserve"> </w:t>
      </w:r>
      <w:r>
        <w:t xml:space="preserve">confronte le nombre de ménages dénombrés au nombre de ménages effectivement enquêtés. Le taux de sondage global est de l’ordre de 18 %.</w:t>
      </w:r>
    </w:p>
    <w:tbl>
      <w:tblPr>
        <w:tblStyle w:val="Table"/>
        <w:tblW w:type="pct" w:w="5000"/>
        <w:tblLayout w:type="fixed"/>
        <w:tblLook w:firstRow="0" w:lastRow="0" w:firstColumn="0" w:lastColumn="0" w:noHBand="0" w:noVBand="0" w:val="0000"/>
      </w:tblPr>
      <w:tblGrid>
        <w:gridCol w:w="7920"/>
      </w:tblGrid>
      <w:tr>
        <w:tc>
          <w:tcPr/>
          <w:bookmarkStart w:id="37" w:name="tbl-denombrement"/>
          <w:p>
            <w:pPr>
              <w:jc w:val="center"/>
            </w:pPr>
            <w:pPr>
              <w:jc w:val="left"/>
              <w:spacing w:before="200"/>
              <w:pStyle w:val="ImageCaption"/>
            </w:pPr>
            <w:r>
              <w:t xml:space="preserve">Table 1.2: Dénombrement et taux de sondage par observatoire</w:t>
            </w:r>
          </w:p>
          <w:bookmarkEnd w:id="37"/>
        </w:tc>
      </w:tr>
    </w:tbl>
    <w:bookmarkEnd w:id="38"/>
    <w:bookmarkStart w:id="40" w:name="répartition-par-hameau"/>
    <w:p>
      <w:pPr>
        <w:pStyle w:val="Titre3"/>
      </w:pPr>
      <w:r>
        <w:t xml:space="preserve">1.4.2 Répartition par hameau</w:t>
      </w:r>
    </w:p>
    <w:p>
      <w:pPr>
        <w:pStyle w:val="FirstParagraph"/>
      </w:pPr>
      <w:r>
        <w:t xml:space="preserve">Le</w:t>
      </w:r>
      <w:r>
        <w:t xml:space="preserve"> </w:t>
      </w:r>
      <w:hyperlink w:anchor="tbl-men-hameau">
        <w:r>
          <w:rPr>
            <w:rStyle w:val="Lienhypertexte"/>
          </w:rPr>
          <w:t xml:space="preserve">Table 1.3</w:t>
        </w:r>
      </w:hyperlink>
      <w:r>
        <w:t xml:space="preserve"> </w:t>
      </w:r>
      <w:r>
        <w:t xml:space="preserve">détaille le nombre de ménages enquêtés dans chacun des hameaux, regroupés par site au sein de chaque observatoire.</w:t>
      </w:r>
    </w:p>
    <w:tbl>
      <w:tblPr>
        <w:tblStyle w:val="Table"/>
        <w:tblW w:type="pct" w:w="5000"/>
        <w:tblLayout w:type="fixed"/>
        <w:tblLook w:firstRow="0" w:lastRow="0" w:firstColumn="0" w:lastColumn="0" w:noHBand="0" w:noVBand="0" w:val="0000"/>
      </w:tblPr>
      <w:tblGrid>
        <w:gridCol w:w="7920"/>
      </w:tblGrid>
      <w:tr>
        <w:tc>
          <w:tcPr/>
          <w:bookmarkStart w:id="39" w:name="tbl-men-hameau"/>
          <w:p>
            <w:pPr>
              <w:jc w:val="center"/>
            </w:pPr>
            <w:pPr>
              <w:jc w:val="left"/>
              <w:spacing w:before="200"/>
              <w:pStyle w:val="ImageCaption"/>
            </w:pPr>
            <w:r>
              <w:t xml:space="preserve">Table 1.3: Répartition des ménages enquêtés par hameau</w:t>
            </w:r>
          </w:p>
          <w:tbl>
            <w:tblPr>
              <w:tblStyle w:val="Table"/>
              <w:tblW w:type="auto" w:w="0"/>
              <w:tblLook w:firstRow="1" w:lastRow="1" w:firstColumn="0" w:lastColumn="0" w:noHBand="0" w:noVBand="0" w:val="0020"/>
            </w:tblPr>
            <w:tblGrid>
              <w:gridCol w:w="2640"/>
              <w:gridCol w:w="2640"/>
              <w:gridCol w:w="2640"/>
            </w:tblGrid>
            <w:tr>
              <w:trPr>
                <w:tblHeader w:val="on"/>
              </w:trPr>
              <w:tc>
                <w:tcPr/>
                <w:p>
                  <w:pPr>
                    <w:pStyle w:val="Compact"/>
                    <w:jc w:val="left"/>
                    <w:jc w:val="center"/>
                  </w:pPr>
                  <w:r>
                    <w:t xml:space="preserve">Hameau</w:t>
                  </w:r>
                </w:p>
              </w:tc>
              <w:tc>
                <w:tcPr/>
                <w:p>
                  <w:pPr>
                    <w:pStyle w:val="Compact"/>
                    <w:jc w:val="right"/>
                    <w:jc w:val="center"/>
                  </w:pPr>
                  <w:r>
                    <w:t xml:space="preserve">Ménages</w:t>
                  </w:r>
                </w:p>
              </w:tc>
              <w:tc>
                <w:tcPr/>
                <w:p>
                  <w:pPr>
                    <w:pStyle w:val="Compact"/>
                    <w:jc w:val="right"/>
                    <w:jc w:val="center"/>
                  </w:pPr>
                  <w:r>
                    <w:t xml:space="preserve">% obs.</w:t>
                  </w:r>
                </w:p>
              </w:tc>
            </w:tr>
            <w:tr>
              <w:tc>
                <w:tcPr>
                  <w:gridSpan w:val="3"/>
                </w:tcPr>
                <w:p>
                  <w:pPr>
                    <w:pStyle w:val="Compact"/>
                    <w:jc w:val="left"/>
                    <w:jc w:val="center"/>
                  </w:pPr>
                  <w:r>
                    <w:t xml:space="preserve">Alaotra</w:t>
                  </w:r>
                </w:p>
              </w:tc>
            </w:tr>
            <w:tr>
              <w:tc>
                <w:tcPr/>
                <w:p>
                  <w:pPr>
                    <w:pStyle w:val="Compact"/>
                    <w:jc w:val="left"/>
                    <w:jc w:val="center"/>
                  </w:pPr>
                  <w:r>
                    <w:t xml:space="preserve">Avaradrano</w:t>
                  </w:r>
                </w:p>
              </w:tc>
              <w:tc>
                <w:tcPr/>
                <w:p>
                  <w:pPr>
                    <w:pStyle w:val="Compact"/>
                    <w:jc w:val="right"/>
                    <w:jc w:val="center"/>
                  </w:pPr>
                  <w:r>
                    <w:t xml:space="preserve">90</w:t>
                  </w:r>
                </w:p>
              </w:tc>
              <w:tc>
                <w:tcPr/>
                <w:p>
                  <w:pPr>
                    <w:pStyle w:val="Compact"/>
                    <w:jc w:val="right"/>
                    <w:jc w:val="center"/>
                  </w:pPr>
                  <w:r>
                    <w:t xml:space="preserve">17.8</w:t>
                  </w:r>
                </w:p>
              </w:tc>
            </w:tr>
            <w:tr>
              <w:tc>
                <w:tcPr/>
                <w:p>
                  <w:pPr>
                    <w:pStyle w:val="Compact"/>
                    <w:jc w:val="left"/>
                    <w:jc w:val="center"/>
                  </w:pPr>
                  <w:r>
                    <w:t xml:space="preserve">Feramanga Atsimo</w:t>
                  </w:r>
                </w:p>
              </w:tc>
              <w:tc>
                <w:tcPr/>
                <w:p>
                  <w:pPr>
                    <w:pStyle w:val="Compact"/>
                    <w:jc w:val="right"/>
                    <w:jc w:val="center"/>
                  </w:pPr>
                  <w:r>
                    <w:t xml:space="preserve">89</w:t>
                  </w:r>
                </w:p>
              </w:tc>
              <w:tc>
                <w:tcPr/>
                <w:p>
                  <w:pPr>
                    <w:pStyle w:val="Compact"/>
                    <w:jc w:val="right"/>
                    <w:jc w:val="center"/>
                  </w:pPr>
                  <w:r>
                    <w:t xml:space="preserve">17.6</w:t>
                  </w:r>
                </w:p>
              </w:tc>
            </w:tr>
            <w:tr>
              <w:tc>
                <w:tcPr/>
                <w:p>
                  <w:pPr>
                    <w:pStyle w:val="Compact"/>
                    <w:jc w:val="left"/>
                    <w:jc w:val="center"/>
                  </w:pPr>
                  <w:r>
                    <w:t xml:space="preserve">Mangabe</w:t>
                  </w:r>
                </w:p>
              </w:tc>
              <w:tc>
                <w:tcPr/>
                <w:p>
                  <w:pPr>
                    <w:pStyle w:val="Compact"/>
                    <w:jc w:val="right"/>
                    <w:jc w:val="center"/>
                  </w:pPr>
                  <w:r>
                    <w:t xml:space="preserve">73</w:t>
                  </w:r>
                </w:p>
              </w:tc>
              <w:tc>
                <w:tcPr/>
                <w:p>
                  <w:pPr>
                    <w:pStyle w:val="Compact"/>
                    <w:jc w:val="right"/>
                    <w:jc w:val="center"/>
                  </w:pPr>
                  <w:r>
                    <w:t xml:space="preserve">14.4</w:t>
                  </w:r>
                </w:p>
              </w:tc>
            </w:tr>
            <w:tr>
              <w:tc>
                <w:tcPr/>
                <w:p>
                  <w:pPr>
                    <w:pStyle w:val="Compact"/>
                    <w:jc w:val="left"/>
                    <w:jc w:val="center"/>
                  </w:pPr>
                  <w:r>
                    <w:t xml:space="preserve">Ambatomanga</w:t>
                  </w:r>
                </w:p>
              </w:tc>
              <w:tc>
                <w:tcPr/>
                <w:p>
                  <w:pPr>
                    <w:pStyle w:val="Compact"/>
                    <w:jc w:val="right"/>
                    <w:jc w:val="center"/>
                  </w:pPr>
                  <w:r>
                    <w:t xml:space="preserve">68</w:t>
                  </w:r>
                </w:p>
              </w:tc>
              <w:tc>
                <w:tcPr/>
                <w:p>
                  <w:pPr>
                    <w:pStyle w:val="Compact"/>
                    <w:jc w:val="right"/>
                    <w:jc w:val="center"/>
                  </w:pPr>
                  <w:r>
                    <w:t xml:space="preserve">13.4</w:t>
                  </w:r>
                </w:p>
              </w:tc>
            </w:tr>
            <w:tr>
              <w:tc>
                <w:tcPr/>
                <w:p>
                  <w:pPr>
                    <w:pStyle w:val="Compact"/>
                    <w:jc w:val="left"/>
                    <w:jc w:val="center"/>
                  </w:pPr>
                  <w:r>
                    <w:t xml:space="preserve">Ambodivoara</w:t>
                  </w:r>
                </w:p>
              </w:tc>
              <w:tc>
                <w:tcPr/>
                <w:p>
                  <w:pPr>
                    <w:pStyle w:val="Compact"/>
                    <w:jc w:val="right"/>
                    <w:jc w:val="center"/>
                  </w:pPr>
                  <w:r>
                    <w:t xml:space="preserve">58</w:t>
                  </w:r>
                </w:p>
              </w:tc>
              <w:tc>
                <w:tcPr/>
                <w:p>
                  <w:pPr>
                    <w:pStyle w:val="Compact"/>
                    <w:jc w:val="right"/>
                    <w:jc w:val="center"/>
                  </w:pPr>
                  <w:r>
                    <w:t xml:space="preserve">11.4</w:t>
                  </w:r>
                </w:p>
              </w:tc>
            </w:tr>
            <w:tr>
              <w:tc>
                <w:tcPr/>
                <w:p>
                  <w:pPr>
                    <w:pStyle w:val="Compact"/>
                    <w:jc w:val="left"/>
                    <w:jc w:val="center"/>
                  </w:pPr>
                  <w:r>
                    <w:t xml:space="preserve">Ambohidrony</w:t>
                  </w:r>
                </w:p>
              </w:tc>
              <w:tc>
                <w:tcPr/>
                <w:p>
                  <w:pPr>
                    <w:pStyle w:val="Compact"/>
                    <w:jc w:val="right"/>
                    <w:jc w:val="center"/>
                  </w:pPr>
                  <w:r>
                    <w:t xml:space="preserve">52</w:t>
                  </w:r>
                </w:p>
              </w:tc>
              <w:tc>
                <w:tcPr/>
                <w:p>
                  <w:pPr>
                    <w:pStyle w:val="Compact"/>
                    <w:jc w:val="right"/>
                    <w:jc w:val="center"/>
                  </w:pPr>
                  <w:r>
                    <w:t xml:space="preserve">10.3</w:t>
                  </w:r>
                </w:p>
              </w:tc>
            </w:tr>
            <w:tr>
              <w:tc>
                <w:tcPr/>
                <w:p>
                  <w:pPr>
                    <w:pStyle w:val="Compact"/>
                    <w:jc w:val="left"/>
                    <w:jc w:val="center"/>
                  </w:pPr>
                  <w:r>
                    <w:t xml:space="preserve">Analamiranga</w:t>
                  </w:r>
                </w:p>
              </w:tc>
              <w:tc>
                <w:tcPr/>
                <w:p>
                  <w:pPr>
                    <w:pStyle w:val="Compact"/>
                    <w:jc w:val="right"/>
                    <w:jc w:val="center"/>
                  </w:pPr>
                  <w:r>
                    <w:t xml:space="preserve">46</w:t>
                  </w:r>
                </w:p>
              </w:tc>
              <w:tc>
                <w:tcPr/>
                <w:p>
                  <w:pPr>
                    <w:pStyle w:val="Compact"/>
                    <w:jc w:val="right"/>
                    <w:jc w:val="center"/>
                  </w:pPr>
                  <w:r>
                    <w:t xml:space="preserve">9.1</w:t>
                  </w:r>
                </w:p>
              </w:tc>
            </w:tr>
            <w:tr>
              <w:tc>
                <w:tcPr/>
                <w:p>
                  <w:pPr>
                    <w:pStyle w:val="Compact"/>
                    <w:jc w:val="left"/>
                    <w:jc w:val="center"/>
                  </w:pPr>
                  <w:r>
                    <w:t xml:space="preserve">Ambatoharanana</w:t>
                  </w:r>
                </w:p>
              </w:tc>
              <w:tc>
                <w:tcPr/>
                <w:p>
                  <w:pPr>
                    <w:pStyle w:val="Compact"/>
                    <w:jc w:val="right"/>
                    <w:jc w:val="center"/>
                  </w:pPr>
                  <w:r>
                    <w:t xml:space="preserve">31</w:t>
                  </w:r>
                </w:p>
              </w:tc>
              <w:tc>
                <w:tcPr/>
                <w:p>
                  <w:pPr>
                    <w:pStyle w:val="Compact"/>
                    <w:jc w:val="right"/>
                    <w:jc w:val="center"/>
                  </w:pPr>
                  <w:r>
                    <w:t xml:space="preserve">6.1</w:t>
                  </w:r>
                </w:p>
              </w:tc>
            </w:tr>
            <w:tr>
              <w:tc>
                <w:tcPr/>
                <w:p>
                  <w:pPr>
                    <w:pStyle w:val="Compact"/>
                    <w:jc w:val="left"/>
                    <w:jc w:val="center"/>
                  </w:pPr>
                  <w:r>
                    <w:t xml:space="preserve">Ensemble</w:t>
                  </w:r>
                </w:p>
              </w:tc>
              <w:tc>
                <w:tcPr/>
                <w:p>
                  <w:pPr>
                    <w:pStyle w:val="Compact"/>
                    <w:jc w:val="right"/>
                    <w:jc w:val="center"/>
                  </w:pPr>
                  <w:r>
                    <w:t xml:space="preserve">507</w:t>
                  </w:r>
                </w:p>
              </w:tc>
              <w:tc>
                <w:tcPr/>
                <w:p>
                  <w:pPr>
                    <w:pStyle w:val="Compact"/>
                    <w:jc w:val="right"/>
                    <w:jc w:val="center"/>
                  </w:pPr>
                  <w:r>
                    <w:t xml:space="preserve">100.0</w:t>
                  </w:r>
                </w:p>
              </w:tc>
            </w:tr>
            <w:tr>
              <w:tc>
                <w:tcPr>
                  <w:gridSpan w:val="3"/>
                </w:tcPr>
                <w:p>
                  <w:pPr>
                    <w:pStyle w:val="Compact"/>
                    <w:jc w:val="left"/>
                    <w:jc w:val="center"/>
                  </w:pPr>
                  <w:r>
                    <w:t xml:space="preserve">Marovoay</w:t>
                  </w:r>
                </w:p>
              </w:tc>
            </w:tr>
            <w:tr>
              <w:tc>
                <w:tcPr/>
                <w:p>
                  <w:pPr>
                    <w:pStyle w:val="Compact"/>
                    <w:jc w:val="left"/>
                    <w:jc w:val="center"/>
                  </w:pPr>
                  <w:r>
                    <w:t xml:space="preserve">Ampijoroa</w:t>
                  </w:r>
                </w:p>
              </w:tc>
              <w:tc>
                <w:tcPr/>
                <w:p>
                  <w:pPr>
                    <w:pStyle w:val="Compact"/>
                    <w:jc w:val="right"/>
                    <w:jc w:val="center"/>
                  </w:pPr>
                  <w:r>
                    <w:t xml:space="preserve">143</w:t>
                  </w:r>
                </w:p>
              </w:tc>
              <w:tc>
                <w:tcPr/>
                <w:p>
                  <w:pPr>
                    <w:pStyle w:val="Compact"/>
                    <w:jc w:val="right"/>
                    <w:jc w:val="center"/>
                  </w:pPr>
                  <w:r>
                    <w:t xml:space="preserve">27.6</w:t>
                  </w:r>
                </w:p>
              </w:tc>
            </w:tr>
            <w:tr>
              <w:tc>
                <w:tcPr/>
                <w:p>
                  <w:pPr>
                    <w:pStyle w:val="Compact"/>
                    <w:jc w:val="left"/>
                    <w:jc w:val="center"/>
                  </w:pPr>
                  <w:r>
                    <w:t xml:space="preserve">Madiromiongana</w:t>
                  </w:r>
                </w:p>
              </w:tc>
              <w:tc>
                <w:tcPr/>
                <w:p>
                  <w:pPr>
                    <w:pStyle w:val="Compact"/>
                    <w:jc w:val="right"/>
                    <w:jc w:val="center"/>
                  </w:pPr>
                  <w:r>
                    <w:t xml:space="preserve">137</w:t>
                  </w:r>
                </w:p>
              </w:tc>
              <w:tc>
                <w:tcPr/>
                <w:p>
                  <w:pPr>
                    <w:pStyle w:val="Compact"/>
                    <w:jc w:val="right"/>
                    <w:jc w:val="center"/>
                  </w:pPr>
                  <w:r>
                    <w:t xml:space="preserve">26.4</w:t>
                  </w:r>
                </w:p>
              </w:tc>
            </w:tr>
            <w:tr>
              <w:tc>
                <w:tcPr/>
                <w:p>
                  <w:pPr>
                    <w:pStyle w:val="Compact"/>
                    <w:jc w:val="left"/>
                    <w:jc w:val="center"/>
                  </w:pPr>
                  <w:r>
                    <w:t xml:space="preserve">Bepako</w:t>
                  </w:r>
                </w:p>
              </w:tc>
              <w:tc>
                <w:tcPr/>
                <w:p>
                  <w:pPr>
                    <w:pStyle w:val="Compact"/>
                    <w:jc w:val="right"/>
                    <w:jc w:val="center"/>
                  </w:pPr>
                  <w:r>
                    <w:t xml:space="preserve">123</w:t>
                  </w:r>
                </w:p>
              </w:tc>
              <w:tc>
                <w:tcPr/>
                <w:p>
                  <w:pPr>
                    <w:pStyle w:val="Compact"/>
                    <w:jc w:val="right"/>
                    <w:jc w:val="center"/>
                  </w:pPr>
                  <w:r>
                    <w:t xml:space="preserve">23.7</w:t>
                  </w:r>
                </w:p>
              </w:tc>
            </w:tr>
            <w:tr>
              <w:tc>
                <w:tcPr/>
                <w:p>
                  <w:pPr>
                    <w:pStyle w:val="Compact"/>
                    <w:jc w:val="left"/>
                    <w:jc w:val="center"/>
                  </w:pPr>
                  <w:r>
                    <w:t xml:space="preserve">Maroala</w:t>
                  </w:r>
                </w:p>
              </w:tc>
              <w:tc>
                <w:tcPr/>
                <w:p>
                  <w:pPr>
                    <w:pStyle w:val="Compact"/>
                    <w:jc w:val="right"/>
                    <w:jc w:val="center"/>
                  </w:pPr>
                  <w:r>
                    <w:t xml:space="preserve">116</w:t>
                  </w:r>
                </w:p>
              </w:tc>
              <w:tc>
                <w:tcPr/>
                <w:p>
                  <w:pPr>
                    <w:pStyle w:val="Compact"/>
                    <w:jc w:val="right"/>
                    <w:jc w:val="center"/>
                  </w:pPr>
                  <w:r>
                    <w:t xml:space="preserve">22.4</w:t>
                  </w:r>
                </w:p>
              </w:tc>
            </w:tr>
            <w:tr>
              <w:tc>
                <w:tcPr/>
                <w:p>
                  <w:pPr>
                    <w:pStyle w:val="Compact"/>
                    <w:jc w:val="left"/>
                    <w:jc w:val="center"/>
                  </w:pPr>
                  <w:r>
                    <w:t xml:space="preserve">Ensemble</w:t>
                  </w:r>
                </w:p>
              </w:tc>
              <w:tc>
                <w:tcPr/>
                <w:p>
                  <w:pPr>
                    <w:pStyle w:val="Compact"/>
                    <w:jc w:val="right"/>
                    <w:jc w:val="center"/>
                  </w:pPr>
                  <w:r>
                    <w:t xml:space="preserve">519</w:t>
                  </w:r>
                </w:p>
              </w:tc>
              <w:tc>
                <w:tcPr/>
                <w:p>
                  <w:pPr>
                    <w:pStyle w:val="Compact"/>
                    <w:jc w:val="right"/>
                    <w:jc w:val="center"/>
                  </w:pPr>
                  <w:r>
                    <w:t xml:space="preserve">100.0</w:t>
                  </w:r>
                </w:p>
              </w:tc>
            </w:tr>
            <w:tr>
              <w:tc>
                <w:tcPr>
                  <w:gridSpan w:val="3"/>
                </w:tcPr>
                <w:p>
                  <w:pPr>
                    <w:pStyle w:val="Compact"/>
                    <w:jc w:val="left"/>
                    <w:jc w:val="center"/>
                  </w:pPr>
                  <w:r>
                    <w:rPr>
                      <w:b/>
                      <w:bCs/>
                    </w:rPr>
                    <w:t xml:space="preserve">Source : Enquête auprès des OR 2025</w:t>
                  </w:r>
                </w:p>
              </w:tc>
            </w:tr>
          </w:tbl>
          <w:bookmarkEnd w:id="39"/>
          <w:p/>
        </w:tc>
      </w:tr>
    </w:tbl>
    <w:bookmarkEnd w:id="40"/>
    <w:bookmarkEnd w:id="41"/>
    <w:bookmarkStart w:id="48" w:name="déroulement-de-lenquête"/>
    <w:p>
      <w:pPr>
        <w:pStyle w:val="Titre2"/>
      </w:pPr>
      <w:r>
        <w:t xml:space="preserve">1.5 Déroulement de l’enquête</w:t>
      </w:r>
    </w:p>
    <w:bookmarkStart w:id="47" w:name="période-de-collecte"/>
    <w:p>
      <w:pPr>
        <w:pStyle w:val="Titre3"/>
      </w:pPr>
      <w:r>
        <w:t xml:space="preserve">1.5.1 Période de collecte</w:t>
      </w:r>
    </w:p>
    <w:p>
      <w:pPr>
        <w:pStyle w:val="FirstParagraph"/>
      </w:pPr>
      <w:r>
        <w:t xml:space="preserve">Les entretiens se sont déroulés entre début octobre et mi-novembre 2025. Un entretien isolé a été réalisé à Marovoay le 3 septembre. Le</w:t>
      </w:r>
      <w:r>
        <w:t xml:space="preserve"> </w:t>
      </w:r>
      <w:hyperlink w:anchor="fig-chronogramme">
        <w:r>
          <w:rPr>
            <w:rStyle w:val="Lienhypertexte"/>
          </w:rPr>
          <w:t xml:space="preserve">Figure 1.1</w:t>
        </w:r>
      </w:hyperlink>
      <w:r>
        <w:t xml:space="preserve"> </w:t>
      </w:r>
      <w:r>
        <w:t xml:space="preserve">présente l’évolution cumulée du nombre d’entretiens réalisés à partir du 1</w:t>
      </w:r>
      <w:r>
        <w:rPr>
          <w:vertAlign w:val="superscript"/>
        </w:rPr>
        <w:t xml:space="preserve">er</w:t>
      </w:r>
      <w:r>
        <w:t xml:space="preserve"> </w:t>
      </w:r>
      <w:r>
        <w:t xml:space="preserve">octobre 2025.</w:t>
      </w:r>
    </w:p>
    <w:tbl>
      <w:tblPr>
        <w:tblStyle w:val="Table"/>
        <w:tblW w:type="pct" w:w="5000"/>
        <w:tblLayout w:type="fixed"/>
        <w:tblLook w:firstRow="0" w:lastRow="0" w:firstColumn="0" w:lastColumn="0" w:noHBand="0" w:noVBand="0" w:val="0000"/>
      </w:tblPr>
      <w:tblGrid>
        <w:gridCol w:w="7920"/>
      </w:tblGrid>
      <w:tr>
        <w:tc>
          <w:tcPr/>
          <w:bookmarkStart w:id="45" w:name="fig-chronogramme"/>
          <w:p>
            <w:pPr>
              <w:jc w:val="center"/>
            </w:pPr>
            <w:pPr>
              <w:jc w:val="left"/>
              <w:spacing w:before="200"/>
              <w:pStyle w:val="ImageCaption"/>
            </w:pPr>
            <w:r>
              <w:t xml:space="preserve">Figure 1.1: Fréquences cumulées des entretiens par observatoire (à partir du 1er octobre 2025)</w:t>
            </w:r>
          </w:p>
          <w:p>
            <w:pPr>
              <w:pStyle w:val="Compact"/>
              <w:jc w:val="center"/>
            </w:pPr>
            <w:r>
              <w:drawing>
                <wp:inline>
                  <wp:extent cx="5969000" cy="2984500"/>
                  <wp:effectExtent b="0" l="0" r="0" t="0"/>
                  <wp:docPr descr="" title="" id="43" name="Picture"/>
                  <a:graphic>
                    <a:graphicData uri="http://schemas.openxmlformats.org/drawingml/2006/picture">
                      <pic:pic>
                        <pic:nvPicPr>
                          <pic:cNvPr descr="01_description_files/figure-docx/fig-chronogramme-1.png" id="44" name="Picture"/>
                          <pic:cNvPicPr>
                            <a:picLocks noChangeArrowheads="1" noChangeAspect="1"/>
                          </pic:cNvPicPr>
                        </pic:nvPicPr>
                        <pic:blipFill>
                          <a:blip r:embed="rId42"/>
                          <a:stretch>
                            <a:fillRect/>
                          </a:stretch>
                        </pic:blipFill>
                        <pic:spPr bwMode="auto">
                          <a:xfrm>
                            <a:off x="0" y="0"/>
                            <a:ext cx="5969000" cy="2984500"/>
                          </a:xfrm>
                          <a:prstGeom prst="rect">
                            <a:avLst/>
                          </a:prstGeom>
                          <a:noFill/>
                          <a:ln w="9525">
                            <a:noFill/>
                            <a:headEnd/>
                            <a:tailEnd/>
                          </a:ln>
                        </pic:spPr>
                      </pic:pic>
                    </a:graphicData>
                  </a:graphic>
                </wp:inline>
              </w:drawing>
            </w:r>
          </w:p>
          <w:bookmarkEnd w:id="45"/>
        </w:tc>
      </w:tr>
    </w:tbl>
    <w:tbl>
      <w:tblPr>
        <w:tblStyle w:val="Table"/>
        <w:tblW w:type="pct" w:w="5000"/>
        <w:tblLayout w:type="fixed"/>
        <w:tblLook w:firstRow="0" w:lastRow="0" w:firstColumn="0" w:lastColumn="0" w:noHBand="0" w:noVBand="0" w:val="0000"/>
      </w:tblPr>
      <w:tblGrid>
        <w:gridCol w:w="7920"/>
      </w:tblGrid>
      <w:tr>
        <w:tc>
          <w:tcPr/>
          <w:bookmarkStart w:id="46" w:name="tbl-periode"/>
          <w:p>
            <w:pPr>
              <w:jc w:val="center"/>
            </w:pPr>
            <w:pPr>
              <w:jc w:val="left"/>
              <w:spacing w:before="200"/>
              <w:pStyle w:val="ImageCaption"/>
            </w:pPr>
            <w:r>
              <w:t xml:space="preserve">Table 1.4: Période de collecte par observatoire</w:t>
            </w:r>
          </w:p>
          <w:bookmarkEnd w:id="46"/>
        </w:tc>
      </w:tr>
    </w:tbl>
    <w:bookmarkEnd w:id="47"/>
    <w:bookmarkEnd w:id="48"/>
    <w:bookmarkEnd w:id="49"/>
    <w:bookmarkStart w:id="138" w:name="X2f0b4bab865cbdc8f0c24eb5bc26af9f83197a2"/>
    <w:p>
      <w:pPr>
        <w:pStyle w:val="Titre1"/>
      </w:pPr>
      <w:r>
        <w:t xml:space="preserve">2. Caractéristiques socio-démographiques des ménages</w:t>
      </w:r>
    </w:p>
    <w:p>
      <w:pPr>
        <w:pStyle w:val="FirstParagraph"/>
      </w:pPr>
      <w:r>
        <w:t xml:space="preserve">Le ménage est l’unité de base de l’enquête. Cette section décrit la composition des ménages, les caractéristiques des chefs de ménage et de leurs membres, ainsi que l’évolution de ces indicateurs.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50" name="Picture"/>
                  <a:graphic>
                    <a:graphicData uri="http://schemas.openxmlformats.org/drawingml/2006/picture">
                      <pic:pic>
                        <pic:nvPicPr>
                          <pic:cNvPr descr="C:\Users\fbede\AppData\Local\Programs\Quarto\share\formats\docx\warning.png" id="51"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p>
      <w:pPr>
        <w:pStyle w:val="Corpsdetexte"/>
      </w:pPr>
      <w:r>
        <w:t xml:space="preserve">À Marovoay, la structure des ménages est marquée par l’hétérogénéité des stratégies économiques et des structures familiales. La proximité de la ville de Marovoay et de la route nationale RN4 reliant Antananarivo à Mahajanga facilite les échanges et influence les activités non agricoles des ménages.</w:t>
      </w:r>
    </w:p>
    <w:bookmarkStart w:id="71" w:name="description-des-ménages"/>
    <w:p>
      <w:pPr>
        <w:pStyle w:val="Titre2"/>
      </w:pPr>
      <w:r>
        <w:t xml:space="preserve">2.1 Description des ménages</w:t>
      </w:r>
    </w:p>
    <w:p>
      <w:pPr>
        <w:pStyle w:val="FirstParagraph"/>
      </w:pPr>
      <w:r>
        <w:t xml:space="preserve">A Marovoay, on a recensé 2297 individus répartis dans 519 ménages. La taille moyenne des ménages s’établit à 4.4 personnes.</w:t>
      </w:r>
    </w:p>
    <w:bookmarkStart w:id="53" w:name="taille-des-ménages-par-observatoire"/>
    <w:p>
      <w:pPr>
        <w:pStyle w:val="Titre3"/>
      </w:pPr>
      <w:r>
        <w:t xml:space="preserve">2.1.1 Taille des ménages par observatoire</w:t>
      </w:r>
    </w:p>
    <w:tbl>
      <w:tblPr>
        <w:tblStyle w:val="Table"/>
        <w:tblW w:type="pct" w:w="5000"/>
        <w:tblLayout w:type="fixed"/>
        <w:tblLook w:firstRow="0" w:lastRow="0" w:firstColumn="0" w:lastColumn="0" w:noHBand="0" w:noVBand="0" w:val="0000"/>
      </w:tblPr>
      <w:tblGrid>
        <w:gridCol w:w="7920"/>
      </w:tblGrid>
      <w:tr>
        <w:tc>
          <w:tcPr/>
          <w:bookmarkStart w:id="52" w:name="tbl-men-obs"/>
          <w:p>
            <w:pPr>
              <w:jc w:val="center"/>
            </w:pPr>
            <w:pPr>
              <w:jc w:val="left"/>
              <w:spacing w:before="200"/>
              <w:pStyle w:val="ImageCaption"/>
            </w:pPr>
            <w:r>
              <w:t xml:space="preserve">Table 2.1: Taille moyenne des ménages par observatoire</w:t>
            </w:r>
          </w:p>
          <w:bookmarkEnd w:id="52"/>
        </w:tc>
      </w:tr>
    </w:tbl>
    <w:bookmarkEnd w:id="53"/>
    <w:bookmarkStart w:id="54" w:name="X5ecba2ce17d6f5a9c23e4167321cf9d859ff0b5"/>
    <w:p>
      <w:pPr>
        <w:pStyle w:val="Titre3"/>
      </w:pPr>
      <w:r>
        <w:t xml:space="preserve">2.1.2 Taille des ménages par hameau et par observatoire</w:t>
      </w:r>
    </w:p>
    <w:bookmarkEnd w:id="54"/>
    <w:bookmarkStart w:id="62" w:name="structure-par-âge"/>
    <w:p>
      <w:pPr>
        <w:pStyle w:val="Titre3"/>
      </w:pPr>
      <w:r>
        <w:t xml:space="preserve">2.1.3 Structure par âge</w:t>
      </w:r>
    </w:p>
    <w:p>
      <w:pPr>
        <w:pStyle w:val="FirstParagraph"/>
      </w:pPr>
      <w:r>
        <w:t xml:space="preserve">La structure démographique des ménages enquêtés révèle une population jeune. Cette distribution, caractéristique des populations rurales malgaches, implique un fort taux de dépendance.</w:t>
      </w:r>
    </w:p>
    <w:p>
      <w:pPr>
        <w:pStyle w:val="Corpsdetexte"/>
      </w:pPr>
      <w:r>
        <w:t xml:space="preserve">A Marovoay, 40.7 % des individus ont moins de 15 ans. La population en âge de travailler (15–64 ans) représente 54.7 %, tandis que les personnes de 65 ans et plus ne constituent que 4.6 %.</w:t>
      </w:r>
    </w:p>
    <w:bookmarkStart w:id="61" w:name="au-niveau-des-observatoires"/>
    <w:p>
      <w:pPr>
        <w:pStyle w:val="Titre4"/>
      </w:pPr>
      <w:r>
        <w:t xml:space="preserve">2.1.3.1 Au niveau des observatoires</w:t>
      </w:r>
    </w:p>
    <w:p>
      <w:pPr>
        <w:pStyle w:val="CaptionedFigure"/>
      </w:pPr>
      <w:r>
        <w:drawing>
          <wp:inline>
            <wp:extent cx="4620126" cy="3696101"/>
            <wp:effectExtent b="0" l="0" r="0" t="0"/>
            <wp:docPr descr="Répartition des membres des ménages par tranche d’âge selon les observatoires" title="" id="56" name="Picture"/>
            <a:graphic>
              <a:graphicData uri="http://schemas.openxmlformats.org/drawingml/2006/picture">
                <pic:pic>
                  <pic:nvPicPr>
                    <pic:cNvPr descr="02_structure_menages_files/figure-docx/fig_age_obs-1.png" id="57" name="Picture"/>
                    <pic:cNvPicPr>
                      <a:picLocks noChangeArrowheads="1" noChangeAspect="1"/>
                    </pic:cNvPicPr>
                  </pic:nvPicPr>
                  <pic:blipFill>
                    <a:blip r:embed="rId55"/>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Répartition des membres des ménages par tranche d’âge selon les observatoires</w:t>
      </w:r>
    </w:p>
    <w:p>
      <w:pPr>
        <w:pStyle w:val="CaptionedFigure"/>
      </w:pPr>
      <w:r>
        <w:drawing>
          <wp:inline>
            <wp:extent cx="4620126" cy="9240252"/>
            <wp:effectExtent b="0" l="0" r="0" t="0"/>
            <wp:docPr descr="Pyramide des âges des membres des ménages enquêtés par observatoire" title="" id="59" name="Picture"/>
            <a:graphic>
              <a:graphicData uri="http://schemas.openxmlformats.org/drawingml/2006/picture">
                <pic:pic>
                  <pic:nvPicPr>
                    <pic:cNvPr descr="02_structure_menages_files/figure-docx/fig_pyramide-1.png" id="60" name="Picture"/>
                    <pic:cNvPicPr>
                      <a:picLocks noChangeArrowheads="1" noChangeAspect="1"/>
                    </pic:cNvPicPr>
                  </pic:nvPicPr>
                  <pic:blipFill>
                    <a:blip r:embed="rId58"/>
                    <a:stretch>
                      <a:fillRect/>
                    </a:stretch>
                  </pic:blipFill>
                  <pic:spPr bwMode="auto">
                    <a:xfrm>
                      <a:off x="0" y="0"/>
                      <a:ext cx="4620126" cy="9240252"/>
                    </a:xfrm>
                    <a:prstGeom prst="rect">
                      <a:avLst/>
                    </a:prstGeom>
                    <a:noFill/>
                    <a:ln w="9525">
                      <a:noFill/>
                      <a:headEnd/>
                      <a:tailEnd/>
                    </a:ln>
                  </pic:spPr>
                </pic:pic>
              </a:graphicData>
            </a:graphic>
          </wp:inline>
        </w:drawing>
      </w:r>
    </w:p>
    <w:p>
      <w:pPr>
        <w:pStyle w:val="ImageCaption"/>
      </w:pPr>
      <w:r>
        <w:t xml:space="preserve">Pyramide des âges des membres des ménages enquêtés par observatoire</w:t>
      </w:r>
    </w:p>
    <w:bookmarkEnd w:id="61"/>
    <w:bookmarkEnd w:id="62"/>
    <w:bookmarkStart w:id="66" w:name="origine-des-cm-et-conjoints"/>
    <w:p>
      <w:pPr>
        <w:pStyle w:val="Titre3"/>
      </w:pPr>
      <w:r>
        <w:t xml:space="preserve">2.1.4 Origine des CM et conjoints</w:t>
      </w:r>
    </w:p>
    <w:p>
      <w:pPr>
        <w:pStyle w:val="FirstParagraph"/>
      </w:pPr>
      <w:r>
        <w:t xml:space="preserve">L’origine géographique des chefs de ménage et de leurs conjoints renseigne sur les dynamiques migratoires et le degré d’ancrage local des familles. La classification distingue les</w:t>
      </w:r>
      <w:r>
        <w:t xml:space="preserve"> </w:t>
      </w:r>
      <w:r>
        <w:rPr>
          <w:i/>
          <w:iCs/>
        </w:rPr>
        <w:t xml:space="preserve">tompon-tany</w:t>
      </w:r>
      <w:r>
        <w:t xml:space="preserve"> </w:t>
      </w:r>
      <w:r>
        <w:t xml:space="preserve">(autochtones), les</w:t>
      </w:r>
      <w:r>
        <w:t xml:space="preserve"> </w:t>
      </w:r>
      <w:r>
        <w:rPr>
          <w:i/>
          <w:iCs/>
        </w:rPr>
        <w:t xml:space="preserve">zana-tany</w:t>
      </w:r>
      <w:r>
        <w:t xml:space="preserve"> </w:t>
      </w:r>
      <w:r>
        <w:t xml:space="preserve">(nés sur place de parents migrants), les</w:t>
      </w:r>
      <w:r>
        <w:t xml:space="preserve"> </w:t>
      </w:r>
      <w:r>
        <w:rPr>
          <w:i/>
          <w:iCs/>
        </w:rPr>
        <w:t xml:space="preserve">valivotaka</w:t>
      </w:r>
      <w:r>
        <w:t xml:space="preserve"> </w:t>
      </w:r>
      <w:r>
        <w:t xml:space="preserve">(migrants installés durablement) et les</w:t>
      </w:r>
      <w:r>
        <w:t xml:space="preserve"> </w:t>
      </w:r>
      <w:r>
        <w:rPr>
          <w:i/>
          <w:iCs/>
        </w:rPr>
        <w:t xml:space="preserve">mpihavy</w:t>
      </w:r>
      <w:r>
        <w:t xml:space="preserve"> </w:t>
      </w:r>
      <w:r>
        <w:t xml:space="preserve">(arrivants récents). La répartition de ces catégories diffère sensiblement entre les deux observatoires.</w:t>
      </w:r>
    </w:p>
    <w:p>
      <w:pPr>
        <w:pStyle w:val="Corpsdetexte"/>
      </w:pPr>
      <w:r>
        <w:drawing>
          <wp:inline>
            <wp:extent cx="4620126" cy="3696101"/>
            <wp:effectExtent b="0" l="0" r="0" t="0"/>
            <wp:docPr descr="" title="" id="64" name="Picture"/>
            <a:graphic>
              <a:graphicData uri="http://schemas.openxmlformats.org/drawingml/2006/picture">
                <pic:pic>
                  <pic:nvPicPr>
                    <pic:cNvPr descr="02_structure_menages_files/figure-docx/fig_origine-1.png" id="65" name="Picture"/>
                    <pic:cNvPicPr>
                      <a:picLocks noChangeArrowheads="1" noChangeAspect="1"/>
                    </pic:cNvPicPr>
                  </pic:nvPicPr>
                  <pic:blipFill>
                    <a:blip r:embed="rId63"/>
                    <a:stretch>
                      <a:fillRect/>
                    </a:stretch>
                  </pic:blipFill>
                  <pic:spPr bwMode="auto">
                    <a:xfrm>
                      <a:off x="0" y="0"/>
                      <a:ext cx="4620126" cy="3696101"/>
                    </a:xfrm>
                    <a:prstGeom prst="rect">
                      <a:avLst/>
                    </a:prstGeom>
                    <a:noFill/>
                    <a:ln w="9525">
                      <a:noFill/>
                      <a:headEnd/>
                      <a:tailEnd/>
                    </a:ln>
                  </pic:spPr>
                </pic:pic>
              </a:graphicData>
            </a:graphic>
          </wp:inline>
        </w:drawing>
      </w:r>
    </w:p>
    <w:bookmarkEnd w:id="66"/>
    <w:bookmarkStart w:id="70" w:name="raison-dinstallation"/>
    <w:p>
      <w:pPr>
        <w:pStyle w:val="Titre3"/>
      </w:pPr>
      <w:r>
        <w:t xml:space="preserve">2.1.5 Raison d’installation</w:t>
      </w:r>
    </w:p>
    <w:p>
      <w:pPr>
        <w:pStyle w:val="FirstParagraph"/>
      </w:pPr>
      <w:r>
        <w:t xml:space="preserve">Les raisons d’installation des CM et conjoints non originaires du lieu éclairent les motivations migratoires. Elles distinguent notamment les installations liées au mariage de celles motivées par les opportunités économiques (travail agricole ou non agricole).</w:t>
      </w:r>
    </w:p>
    <w:p>
      <w:pPr>
        <w:pStyle w:val="Corpsdetexte"/>
      </w:pPr>
      <w:r>
        <w:drawing>
          <wp:inline>
            <wp:extent cx="4620126" cy="3696101"/>
            <wp:effectExtent b="0" l="0" r="0" t="0"/>
            <wp:docPr descr="" title="" id="68" name="Picture"/>
            <a:graphic>
              <a:graphicData uri="http://schemas.openxmlformats.org/drawingml/2006/picture">
                <pic:pic>
                  <pic:nvPicPr>
                    <pic:cNvPr descr="02_structure_menages_files/figure-docx/fig_raison-1.png" id="69" name="Picture"/>
                    <pic:cNvPicPr>
                      <a:picLocks noChangeArrowheads="1" noChangeAspect="1"/>
                    </pic:cNvPicPr>
                  </pic:nvPicPr>
                  <pic:blipFill>
                    <a:blip r:embed="rId67"/>
                    <a:stretch>
                      <a:fillRect/>
                    </a:stretch>
                  </pic:blipFill>
                  <pic:spPr bwMode="auto">
                    <a:xfrm>
                      <a:off x="0" y="0"/>
                      <a:ext cx="4620126" cy="3696101"/>
                    </a:xfrm>
                    <a:prstGeom prst="rect">
                      <a:avLst/>
                    </a:prstGeom>
                    <a:noFill/>
                    <a:ln w="9525">
                      <a:noFill/>
                      <a:headEnd/>
                      <a:tailEnd/>
                    </a:ln>
                  </pic:spPr>
                </pic:pic>
              </a:graphicData>
            </a:graphic>
          </wp:inline>
        </w:drawing>
      </w:r>
    </w:p>
    <w:bookmarkEnd w:id="70"/>
    <w:bookmarkEnd w:id="71"/>
    <w:bookmarkStart w:id="100" w:name="caractéristiques-des-chefs-de-ménages"/>
    <w:p>
      <w:pPr>
        <w:pStyle w:val="Titre2"/>
      </w:pPr>
      <w:r>
        <w:t xml:space="preserve">2.2 Caractéristiques des chefs de ménages</w:t>
      </w:r>
    </w:p>
    <w:p>
      <w:pPr>
        <w:pStyle w:val="FirstParagraph"/>
      </w:pPr>
      <w:r>
        <w:t xml:space="preserve">Le profil des chefs de ménage (CM) est décrit ci-dessous.</w:t>
      </w:r>
    </w:p>
    <w:p>
      <w:pPr>
        <w:pStyle w:val="Corpsdetexte"/>
      </w:pPr>
      <w:r>
        <w:t xml:space="preserve">A Marovoay, 78 % des CM sont des hommes, soit 22 % de ménages dirigés par des femmes. L’âge moyen des CM est de 46.1 ans. Sur le plan conjugal, 73 % des CM vivent en couple (mariés ou en concubinage).</w:t>
      </w:r>
    </w:p>
    <w:bookmarkStart w:id="72" w:name="caractéristiques-socio-démographiques"/>
    <w:p>
      <w:pPr>
        <w:pStyle w:val="Titre3"/>
      </w:pPr>
      <w:r>
        <w:t xml:space="preserve">2.2.1 Caractéristiques socio-démographiques</w:t>
      </w:r>
    </w:p>
    <w:tbl>
      <w:tblPr>
        <w:tblStyle w:val="Table"/>
        <w:tblW w:type="auto" w:w="0"/>
        <w:tblLook w:firstRow="1" w:lastRow="1" w:firstColumn="0" w:lastColumn="0" w:noHBand="0" w:noVBand="0" w:val="0020"/>
      </w:tblPr>
      <w:tblGrid>
        <w:gridCol w:w="3960"/>
        <w:gridCol w:w="3960"/>
      </w:tblGrid>
      <w:tr>
        <w:trPr>
          <w:tblHeader w:val="on"/>
        </w:trPr>
        <w:tc>
          <w:tcPr>
            <w:gridSpan w:val="2"/>
          </w:tcPr>
          <w:p>
            <w:pPr>
              <w:pStyle w:val="Compact"/>
              <w:jc w:val="center"/>
            </w:pPr>
            <w:r>
              <w:t xml:space="preserve">Caractéristiques des chefs de ménage</w:t>
            </w:r>
            <w:r>
              <w:rPr>
                <w:vertAlign w:val="superscript"/>
              </w:rPr>
              <w:t xml:space="preserve">1</w:t>
            </w:r>
          </w:p>
        </w:tc>
      </w:tr>
      <w:tr>
        <w:trPr>
          <w:tblHeader w:val="on"/>
        </w:trPr>
        <w:tc>
          <w:tcPr/>
          <w:p>
            <w:pPr>
              <w:pStyle w:val="Compact"/>
              <w:jc w:val="left"/>
            </w:pPr>
            <w:r>
              <w:t xml:space="preserve">Catégorie</w:t>
            </w:r>
          </w:p>
        </w:tc>
        <w:tc>
          <w:tcPr/>
          <w:p>
            <w:pPr>
              <w:pStyle w:val="Compact"/>
              <w:jc w:val="right"/>
            </w:pPr>
            <w:r>
              <w:t xml:space="preserve">Marovoay</w:t>
            </w:r>
          </w:p>
        </w:tc>
      </w:tr>
      <w:tr>
        <w:tc>
          <w:tcPr>
            <w:gridSpan w:val="2"/>
          </w:tcPr>
          <w:p>
            <w:pPr>
              <w:pStyle w:val="Compact"/>
              <w:jc w:val="left"/>
            </w:pPr>
            <w:r>
              <w:t xml:space="preserve">Sexe</w:t>
            </w:r>
          </w:p>
        </w:tc>
      </w:tr>
      <w:tr>
        <w:tc>
          <w:tcPr/>
          <w:p>
            <w:pPr>
              <w:pStyle w:val="Compact"/>
              <w:jc w:val="left"/>
            </w:pPr>
            <w:r>
              <w:t xml:space="preserve">Femme</w:t>
            </w:r>
          </w:p>
        </w:tc>
        <w:tc>
          <w:tcPr/>
          <w:p>
            <w:pPr>
              <w:pStyle w:val="Compact"/>
              <w:jc w:val="right"/>
            </w:pPr>
            <w:r>
              <w:t xml:space="preserve">22%</w:t>
            </w:r>
          </w:p>
        </w:tc>
      </w:tr>
      <w:tr>
        <w:tc>
          <w:tcPr/>
          <w:p>
            <w:pPr>
              <w:pStyle w:val="Compact"/>
              <w:jc w:val="left"/>
            </w:pPr>
            <w:r>
              <w:t xml:space="preserve">Homme</w:t>
            </w:r>
          </w:p>
        </w:tc>
        <w:tc>
          <w:tcPr/>
          <w:p>
            <w:pPr>
              <w:pStyle w:val="Compact"/>
              <w:jc w:val="right"/>
            </w:pPr>
            <w:r>
              <w:t xml:space="preserve">78%</w:t>
            </w:r>
          </w:p>
        </w:tc>
      </w:tr>
      <w:tr>
        <w:tc>
          <w:tcPr>
            <w:gridSpan w:val="2"/>
          </w:tcPr>
          <w:p>
            <w:pPr>
              <w:pStyle w:val="Compact"/>
              <w:jc w:val="left"/>
            </w:pPr>
            <w:r>
              <w:t xml:space="preserve">Âge</w:t>
            </w:r>
          </w:p>
        </w:tc>
      </w:tr>
      <w:tr>
        <w:tc>
          <w:tcPr/>
          <w:p>
            <w:pPr>
              <w:pStyle w:val="Compact"/>
              <w:jc w:val="left"/>
            </w:pPr>
            <w:r>
              <w:t xml:space="preserve">Minimum</w:t>
            </w:r>
          </w:p>
        </w:tc>
        <w:tc>
          <w:tcPr/>
          <w:p>
            <w:pPr>
              <w:pStyle w:val="Compact"/>
              <w:jc w:val="right"/>
            </w:pPr>
            <w:r>
              <w:t xml:space="preserve">18</w:t>
            </w:r>
          </w:p>
        </w:tc>
      </w:tr>
      <w:tr>
        <w:tc>
          <w:tcPr/>
          <w:p>
            <w:pPr>
              <w:pStyle w:val="Compact"/>
              <w:jc w:val="left"/>
            </w:pPr>
            <w:r>
              <w:t xml:space="preserve">Mode</w:t>
            </w:r>
          </w:p>
        </w:tc>
        <w:tc>
          <w:tcPr/>
          <w:p>
            <w:pPr>
              <w:pStyle w:val="Compact"/>
              <w:jc w:val="right"/>
            </w:pPr>
            <w:r>
              <w:t xml:space="preserve">36</w:t>
            </w:r>
          </w:p>
        </w:tc>
      </w:tr>
      <w:tr>
        <w:tc>
          <w:tcPr/>
          <w:p>
            <w:pPr>
              <w:pStyle w:val="Compact"/>
              <w:jc w:val="left"/>
            </w:pPr>
            <w:r>
              <w:t xml:space="preserve">Médiane</w:t>
            </w:r>
          </w:p>
        </w:tc>
        <w:tc>
          <w:tcPr/>
          <w:p>
            <w:pPr>
              <w:pStyle w:val="Compact"/>
              <w:jc w:val="right"/>
            </w:pPr>
            <w:r>
              <w:t xml:space="preserve">45</w:t>
            </w:r>
          </w:p>
        </w:tc>
      </w:tr>
      <w:tr>
        <w:tc>
          <w:tcPr/>
          <w:p>
            <w:pPr>
              <w:pStyle w:val="Compact"/>
              <w:jc w:val="left"/>
            </w:pPr>
            <w:r>
              <w:t xml:space="preserve">Moyenne</w:t>
            </w:r>
          </w:p>
        </w:tc>
        <w:tc>
          <w:tcPr/>
          <w:p>
            <w:pPr>
              <w:pStyle w:val="Compact"/>
              <w:jc w:val="right"/>
            </w:pPr>
            <w:r>
              <w:t xml:space="preserve">46</w:t>
            </w:r>
          </w:p>
        </w:tc>
      </w:tr>
      <w:tr>
        <w:tc>
          <w:tcPr/>
          <w:p>
            <w:pPr>
              <w:pStyle w:val="Compact"/>
              <w:jc w:val="left"/>
            </w:pPr>
            <w:r>
              <w:t xml:space="preserve">Maximum</w:t>
            </w:r>
          </w:p>
        </w:tc>
        <w:tc>
          <w:tcPr/>
          <w:p>
            <w:pPr>
              <w:pStyle w:val="Compact"/>
              <w:jc w:val="right"/>
            </w:pPr>
            <w:r>
              <w:t xml:space="preserve">96</w:t>
            </w:r>
          </w:p>
        </w:tc>
      </w:tr>
      <w:tr>
        <w:tc>
          <w:tcPr>
            <w:gridSpan w:val="2"/>
          </w:tcPr>
          <w:p>
            <w:pPr>
              <w:pStyle w:val="Compact"/>
              <w:jc w:val="left"/>
            </w:pPr>
            <w:r>
              <w:t xml:space="preserve">Statut matrimonial</w:t>
            </w:r>
          </w:p>
        </w:tc>
      </w:tr>
      <w:tr>
        <w:tc>
          <w:tcPr/>
          <w:p>
            <w:pPr>
              <w:pStyle w:val="Compact"/>
              <w:jc w:val="left"/>
            </w:pPr>
            <w:r>
              <w:t xml:space="preserve">Célibataire</w:t>
            </w:r>
          </w:p>
        </w:tc>
        <w:tc>
          <w:tcPr/>
          <w:p>
            <w:pPr>
              <w:pStyle w:val="Compact"/>
              <w:jc w:val="right"/>
            </w:pPr>
            <w:r>
              <w:t xml:space="preserve">1.3%</w:t>
            </w:r>
          </w:p>
        </w:tc>
      </w:tr>
      <w:tr>
        <w:tc>
          <w:tcPr/>
          <w:p>
            <w:pPr>
              <w:pStyle w:val="Compact"/>
              <w:jc w:val="left"/>
            </w:pPr>
            <w:r>
              <w:t xml:space="preserve">Divorcé(e)</w:t>
            </w:r>
          </w:p>
        </w:tc>
        <w:tc>
          <w:tcPr/>
          <w:p>
            <w:pPr>
              <w:pStyle w:val="Compact"/>
              <w:jc w:val="right"/>
            </w:pPr>
            <w:r>
              <w:t xml:space="preserve">16.2%</w:t>
            </w:r>
          </w:p>
        </w:tc>
      </w:tr>
      <w:tr>
        <w:tc>
          <w:tcPr/>
          <w:p>
            <w:pPr>
              <w:pStyle w:val="Compact"/>
              <w:jc w:val="left"/>
            </w:pPr>
            <w:r>
              <w:t xml:space="preserve">En concubinage</w:t>
            </w:r>
          </w:p>
        </w:tc>
        <w:tc>
          <w:tcPr/>
          <w:p>
            <w:pPr>
              <w:pStyle w:val="Compact"/>
              <w:jc w:val="right"/>
            </w:pPr>
            <w:r>
              <w:t xml:space="preserve">6.2%</w:t>
            </w:r>
          </w:p>
        </w:tc>
      </w:tr>
      <w:tr>
        <w:tc>
          <w:tcPr/>
          <w:p>
            <w:pPr>
              <w:pStyle w:val="Compact"/>
              <w:jc w:val="left"/>
            </w:pPr>
            <w:r>
              <w:t xml:space="preserve">Marié(e) civil / religieux / polygame</w:t>
            </w:r>
          </w:p>
        </w:tc>
        <w:tc>
          <w:tcPr/>
          <w:p>
            <w:pPr>
              <w:pStyle w:val="Compact"/>
              <w:jc w:val="right"/>
            </w:pPr>
            <w:r>
              <w:t xml:space="preserve">5.8%</w:t>
            </w:r>
          </w:p>
        </w:tc>
      </w:tr>
      <w:tr>
        <w:tc>
          <w:tcPr/>
          <w:p>
            <w:pPr>
              <w:pStyle w:val="Compact"/>
              <w:jc w:val="left"/>
            </w:pPr>
            <w:r>
              <w:t xml:space="preserve">Marié(e) selon la tradition</w:t>
            </w:r>
          </w:p>
        </w:tc>
        <w:tc>
          <w:tcPr/>
          <w:p>
            <w:pPr>
              <w:pStyle w:val="Compact"/>
              <w:jc w:val="right"/>
            </w:pPr>
            <w:r>
              <w:t xml:space="preserve">61.1%</w:t>
            </w:r>
          </w:p>
        </w:tc>
      </w:tr>
      <w:tr>
        <w:tc>
          <w:tcPr/>
          <w:p>
            <w:pPr>
              <w:pStyle w:val="Compact"/>
              <w:jc w:val="left"/>
            </w:pPr>
            <w:r>
              <w:t xml:space="preserve">Veuf(ve)</w:t>
            </w:r>
          </w:p>
        </w:tc>
        <w:tc>
          <w:tcPr/>
          <w:p>
            <w:pPr>
              <w:pStyle w:val="Compact"/>
              <w:jc w:val="right"/>
            </w:pPr>
            <w:r>
              <w:t xml:space="preserve">9.4%</w:t>
            </w:r>
          </w:p>
        </w:tc>
      </w:tr>
      <w:tr>
        <w:tc>
          <w:tcPr>
            <w:gridSpan w:val="2"/>
          </w:tcPr>
          <w:p>
            <w:pPr>
              <w:pStyle w:val="Compact"/>
              <w:jc w:val="left"/>
            </w:pPr>
            <w:r>
              <w:rPr>
                <w:vertAlign w:val="superscript"/>
              </w:rPr>
              <w:t xml:space="preserve">1</w:t>
            </w:r>
            <w:r>
              <w:t xml:space="preserve"> </w:t>
            </w:r>
            <w:r>
              <w:t xml:space="preserve">Sexe et Statut matrimonial : effectifs et pourcentages. Âge : statistiques descriptives.</w:t>
            </w:r>
          </w:p>
        </w:tc>
      </w:tr>
      <w:tr>
        <w:tc>
          <w:tcPr>
            <w:gridSpan w:val="2"/>
          </w:tcPr>
          <w:p>
            <w:pPr>
              <w:pStyle w:val="Compact"/>
              <w:jc w:val="left"/>
            </w:pPr>
            <w:r>
              <w:rPr>
                <w:b/>
                <w:bCs/>
              </w:rPr>
              <w:t xml:space="preserve">Source : Enquête auprès des OR 2025</w:t>
            </w:r>
          </w:p>
        </w:tc>
      </w:tr>
    </w:tbl>
    <w:bookmarkEnd w:id="72"/>
    <w:bookmarkStart w:id="81" w:name="niveau-déducation"/>
    <w:p>
      <w:pPr>
        <w:pStyle w:val="Titre3"/>
      </w:pPr>
      <w:r>
        <w:t xml:space="preserve">2.2.2 Niveau d’éducation</w:t>
      </w:r>
    </w:p>
    <w:p>
      <w:pPr>
        <w:pStyle w:val="FirstParagraph"/>
      </w:pPr>
      <w:r>
        <w:t xml:space="preserve">Le niveau d’éducation des chefs de ménage constitue un déterminant majeur de la capacité d’adaptation et de la vulnérabilité des ménages ruraux. L’analyse croisée par sexe met en évidence des disparités supplémentaires.</w:t>
      </w:r>
    </w:p>
    <w:p>
      <w:pPr>
        <w:pStyle w:val="Corpsdetexte"/>
      </w:pPr>
      <w:r>
        <w:t xml:space="preserve">A Marovoay, le niveau le plus fréquemment atteint est « Primaire » (52.4 % des CM).</w:t>
      </w:r>
    </w:p>
    <w:bookmarkStart w:id="76" w:name="niveau-déducation-du-chef-de-ménage"/>
    <w:p>
      <w:pPr>
        <w:pStyle w:val="Titre4"/>
      </w:pPr>
      <w:r>
        <w:t xml:space="preserve">2.2.2.1 Niveau d’éducation du Chef de ménage</w:t>
      </w:r>
    </w:p>
    <w:p>
      <w:pPr>
        <w:pStyle w:val="CaptionedFigure"/>
      </w:pPr>
      <w:r>
        <w:drawing>
          <wp:inline>
            <wp:extent cx="4620126" cy="3696101"/>
            <wp:effectExtent b="0" l="0" r="0" t="0"/>
            <wp:docPr descr="Niveau d’éducation des chefs de ménage" title="" id="74" name="Picture"/>
            <a:graphic>
              <a:graphicData uri="http://schemas.openxmlformats.org/drawingml/2006/picture">
                <pic:pic>
                  <pic:nvPicPr>
                    <pic:cNvPr descr="02_structure_menages_files/figure-docx/fig_cm_educ-1.png" id="75" name="Picture"/>
                    <pic:cNvPicPr>
                      <a:picLocks noChangeArrowheads="1" noChangeAspect="1"/>
                    </pic:cNvPicPr>
                  </pic:nvPicPr>
                  <pic:blipFill>
                    <a:blip r:embed="rId73"/>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Niveau d’éducation des chefs de ménage</w:t>
      </w:r>
    </w:p>
    <w:bookmarkEnd w:id="76"/>
    <w:bookmarkStart w:id="80" w:name="X4a3ba4957ab1c055d132d85a923cd063717f406"/>
    <w:p>
      <w:pPr>
        <w:pStyle w:val="Titre4"/>
      </w:pPr>
      <w:r>
        <w:t xml:space="preserve">2.2.2.2 Niveau d’éducation des chefs de ménages par sexe</w:t>
      </w:r>
    </w:p>
    <w:p>
      <w:pPr>
        <w:pStyle w:val="CaptionedFigure"/>
      </w:pPr>
      <w:r>
        <w:drawing>
          <wp:inline>
            <wp:extent cx="4620126" cy="3696101"/>
            <wp:effectExtent b="0" l="0" r="0" t="0"/>
            <wp:docPr descr="Niveau d’éducation des CM par sexe" title="" id="78" name="Picture"/>
            <a:graphic>
              <a:graphicData uri="http://schemas.openxmlformats.org/drawingml/2006/picture">
                <pic:pic>
                  <pic:nvPicPr>
                    <pic:cNvPr descr="02_structure_menages_files/figure-docx/fig_cm_educ_sex-1.png" id="79" name="Picture"/>
                    <pic:cNvPicPr>
                      <a:picLocks noChangeArrowheads="1" noChangeAspect="1"/>
                    </pic:cNvPicPr>
                  </pic:nvPicPr>
                  <pic:blipFill>
                    <a:blip r:embed="rId77"/>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Niveau d’éducation des CM par sexe</w:t>
      </w:r>
    </w:p>
    <w:bookmarkEnd w:id="80"/>
    <w:bookmarkEnd w:id="81"/>
    <w:bookmarkStart w:id="90" w:name="alphabétisation-des-chefs-de-ménage"/>
    <w:p>
      <w:pPr>
        <w:pStyle w:val="Titre3"/>
      </w:pPr>
      <w:r>
        <w:t xml:space="preserve">2.2.3 Alphabétisation des chefs de ménage</w:t>
      </w:r>
    </w:p>
    <w:p>
      <w:pPr>
        <w:pStyle w:val="FirstParagraph"/>
      </w:pPr>
      <w:r>
        <w:t xml:space="preserve">L’aptitude à lire et écrire conditionne l’accès à l’information, aux services publics et aux opportunités économiques. Les sections suivantes détaillent les compétences en lecture et en écriture séparément, en distinguant trois niveaux : lecture/écriture aisée, avec effort, ou absente.</w:t>
      </w:r>
    </w:p>
    <w:p>
      <w:pPr>
        <w:pStyle w:val="Corpsdetexte"/>
      </w:pPr>
      <w:r>
        <w:t xml:space="preserve">A Marovoay, 74 % des CM savent lire aisément.</w:t>
      </w:r>
    </w:p>
    <w:bookmarkStart w:id="85" w:name="savoir-lire"/>
    <w:p>
      <w:pPr>
        <w:pStyle w:val="Titre4"/>
      </w:pPr>
      <w:r>
        <w:t xml:space="preserve">2.2.3.1 Savoir lire</w:t>
      </w:r>
    </w:p>
    <w:p>
      <w:pPr>
        <w:pStyle w:val="CaptionedFigure"/>
      </w:pPr>
      <w:r>
        <w:drawing>
          <wp:inline>
            <wp:extent cx="4620126" cy="3696101"/>
            <wp:effectExtent b="0" l="0" r="0" t="0"/>
            <wp:docPr descr="Aptitude à la lecture des CM selon le sexe" title="" id="83" name="Picture"/>
            <a:graphic>
              <a:graphicData uri="http://schemas.openxmlformats.org/drawingml/2006/picture">
                <pic:pic>
                  <pic:nvPicPr>
                    <pic:cNvPr descr="02_structure_menages_files/figure-docx/fig_cm_read_sex-1.png" id="84" name="Picture"/>
                    <pic:cNvPicPr>
                      <a:picLocks noChangeArrowheads="1" noChangeAspect="1"/>
                    </pic:cNvPicPr>
                  </pic:nvPicPr>
                  <pic:blipFill>
                    <a:blip r:embed="rId82"/>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Aptitude à la lecture des CM selon le sexe</w:t>
      </w:r>
    </w:p>
    <w:bookmarkEnd w:id="85"/>
    <w:bookmarkStart w:id="89" w:name="savoir-écrire"/>
    <w:p>
      <w:pPr>
        <w:pStyle w:val="Titre4"/>
      </w:pPr>
      <w:r>
        <w:t xml:space="preserve">2.2.3.2 Savoir écrire</w:t>
      </w:r>
    </w:p>
    <w:p>
      <w:pPr>
        <w:pStyle w:val="CaptionedFigure"/>
      </w:pPr>
      <w:r>
        <w:drawing>
          <wp:inline>
            <wp:extent cx="4620126" cy="3696101"/>
            <wp:effectExtent b="0" l="0" r="0" t="0"/>
            <wp:docPr descr="Aptitude à l’écriture des CM selon le sexe" title="" id="87" name="Picture"/>
            <a:graphic>
              <a:graphicData uri="http://schemas.openxmlformats.org/drawingml/2006/picture">
                <pic:pic>
                  <pic:nvPicPr>
                    <pic:cNvPr descr="02_structure_menages_files/figure-docx/fig_cm_write_sex-1.png" id="88" name="Picture"/>
                    <pic:cNvPicPr>
                      <a:picLocks noChangeArrowheads="1" noChangeAspect="1"/>
                    </pic:cNvPicPr>
                  </pic:nvPicPr>
                  <pic:blipFill>
                    <a:blip r:embed="rId8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Aptitude à l’écriture des CM selon le sexe</w:t>
      </w:r>
    </w:p>
    <w:bookmarkEnd w:id="89"/>
    <w:bookmarkEnd w:id="90"/>
    <w:bookmarkStart w:id="99" w:name="Xd28e2db47e64cd6bed940357b8301db0b46a084"/>
    <w:p>
      <w:pPr>
        <w:pStyle w:val="Titre3"/>
      </w:pPr>
      <w:r>
        <w:t xml:space="preserve">2.2.4 Activités principales des Chefs de ménage</w:t>
      </w:r>
    </w:p>
    <w:p>
      <w:pPr>
        <w:pStyle w:val="FirstParagraph"/>
      </w:pPr>
      <w:r>
        <w:t xml:space="preserve">L’activité économique principale des chefs de ménage traduit la structure productive de chaque observatoire. Les activités sont regroupées en catégories sectorielles inspirées de la CITI Rév. 4 afin de garantir un effectif suffisant dans chaque classe et de préserver la confidentialité statistique.</w:t>
      </w:r>
    </w:p>
    <w:p>
      <w:pPr>
        <w:pStyle w:val="Corpsdetexte"/>
      </w:pPr>
      <w:r>
        <w:t xml:space="preserve">A Marovoay, l’activité dominante est « Cultivateur exploitant » (58.6 % des CM).</w:t>
      </w:r>
    </w:p>
    <w:tbl>
      <w:tblPr>
        <w:tblStyle w:val="Table"/>
        <w:tblW w:type="pct" w:w="5000"/>
        <w:tblLayout w:type="fixed"/>
        <w:tblLook w:firstRow="0" w:lastRow="0" w:firstColumn="0" w:lastColumn="0" w:noHBand="0" w:noVBand="0" w:val="0000"/>
      </w:tblPr>
      <w:tblGrid>
        <w:gridCol w:w="7920"/>
      </w:tblGrid>
      <w:tr>
        <w:tc>
          <w:tcPr/>
          <w:bookmarkStart w:id="94" w:name="fig-cm-act"/>
          <w:p>
            <w:pPr>
              <w:jc w:val="center"/>
            </w:pPr>
            <w:pPr>
              <w:jc w:val="left"/>
              <w:spacing w:before="200"/>
              <w:pStyle w:val="ImageCaption"/>
            </w:pPr>
            <w:r>
              <w:t xml:space="preserve">Figure 2.1: Activités principales des chefs de ménages</w:t>
            </w:r>
          </w:p>
          <w:p>
            <w:pPr>
              <w:pStyle w:val="Compact"/>
              <w:jc w:val="center"/>
            </w:pPr>
            <w:r>
              <w:drawing>
                <wp:inline>
                  <wp:extent cx="4620126" cy="9240252"/>
                  <wp:effectExtent b="0" l="0" r="0" t="0"/>
                  <wp:docPr descr="" title="" id="92" name="Picture"/>
                  <a:graphic>
                    <a:graphicData uri="http://schemas.openxmlformats.org/drawingml/2006/picture">
                      <pic:pic>
                        <pic:nvPicPr>
                          <pic:cNvPr descr="02_structure_menages_files/figure-docx/fig-cm-act-1.png" id="93" name="Picture"/>
                          <pic:cNvPicPr>
                            <a:picLocks noChangeArrowheads="1" noChangeAspect="1"/>
                          </pic:cNvPicPr>
                        </pic:nvPicPr>
                        <pic:blipFill>
                          <a:blip r:embed="rId91"/>
                          <a:stretch>
                            <a:fillRect/>
                          </a:stretch>
                        </pic:blipFill>
                        <pic:spPr bwMode="auto">
                          <a:xfrm>
                            <a:off x="0" y="0"/>
                            <a:ext cx="4620126" cy="9240252"/>
                          </a:xfrm>
                          <a:prstGeom prst="rect">
                            <a:avLst/>
                          </a:prstGeom>
                          <a:noFill/>
                          <a:ln w="9525">
                            <a:noFill/>
                            <a:headEnd/>
                            <a:tailEnd/>
                          </a:ln>
                        </pic:spPr>
                      </pic:pic>
                    </a:graphicData>
                  </a:graphic>
                </wp:inline>
              </w:drawing>
            </w:r>
          </w:p>
          <w:bookmarkEnd w:id="94"/>
        </w:tc>
      </w:tr>
    </w:tbl>
    <w:bookmarkStart w:id="98" w:name="activités-principales-des-cm-par-sexe"/>
    <w:p>
      <w:pPr>
        <w:pStyle w:val="Titre4"/>
      </w:pPr>
      <w:r>
        <w:t xml:space="preserve">2.2.4.1 Activités principales des CM par sexe</w:t>
      </w:r>
    </w:p>
    <w:p>
      <w:pPr>
        <w:pStyle w:val="CaptionedFigure"/>
      </w:pPr>
      <w:r>
        <w:drawing>
          <wp:inline>
            <wp:extent cx="4620126" cy="9240252"/>
            <wp:effectExtent b="0" l="0" r="0" t="0"/>
            <wp:docPr descr="Activités principales des CM par observatoire et sexe" title="" id="96" name="Picture"/>
            <a:graphic>
              <a:graphicData uri="http://schemas.openxmlformats.org/drawingml/2006/picture">
                <pic:pic>
                  <pic:nvPicPr>
                    <pic:cNvPr descr="02_structure_menages_files/figure-docx/fig_cm_act_sex-1.png" id="97" name="Picture"/>
                    <pic:cNvPicPr>
                      <a:picLocks noChangeArrowheads="1" noChangeAspect="1"/>
                    </pic:cNvPicPr>
                  </pic:nvPicPr>
                  <pic:blipFill>
                    <a:blip r:embed="rId95"/>
                    <a:stretch>
                      <a:fillRect/>
                    </a:stretch>
                  </pic:blipFill>
                  <pic:spPr bwMode="auto">
                    <a:xfrm>
                      <a:off x="0" y="0"/>
                      <a:ext cx="4620126" cy="9240252"/>
                    </a:xfrm>
                    <a:prstGeom prst="rect">
                      <a:avLst/>
                    </a:prstGeom>
                    <a:noFill/>
                    <a:ln w="9525">
                      <a:noFill/>
                      <a:headEnd/>
                      <a:tailEnd/>
                    </a:ln>
                  </pic:spPr>
                </pic:pic>
              </a:graphicData>
            </a:graphic>
          </wp:inline>
        </w:drawing>
      </w:r>
    </w:p>
    <w:p>
      <w:pPr>
        <w:pStyle w:val="ImageCaption"/>
      </w:pPr>
      <w:r>
        <w:t xml:space="preserve">Activités principales des CM par observatoire et sexe</w:t>
      </w:r>
    </w:p>
    <w:bookmarkEnd w:id="98"/>
    <w:bookmarkEnd w:id="99"/>
    <w:bookmarkEnd w:id="100"/>
    <w:bookmarkStart w:id="137" w:name="X57f2daed0b4a0ac8c44ae97171a5ac716837489"/>
    <w:p>
      <w:pPr>
        <w:pStyle w:val="Titre2"/>
      </w:pPr>
      <w:r>
        <w:t xml:space="preserve">2.3 Caractéristiques des autres membres de ménages</w:t>
      </w:r>
    </w:p>
    <w:p>
      <w:pPr>
        <w:pStyle w:val="FirstParagraph"/>
      </w:pPr>
      <w:r>
        <w:t xml:space="preserve">Les autres membres du ménage (conjoints, enfants, dépendants) constituent la majorité de la population recensée. Leur profil démographique, éducatif et économique complète celui des chefs de ménage et permet de dresser un portrait plus complet du capital humain des familles rurales.</w:t>
      </w:r>
    </w:p>
    <w:bookmarkStart w:id="101" w:name="caractéristiques-socio-démographiques-1"/>
    <w:p>
      <w:pPr>
        <w:pStyle w:val="Titre3"/>
      </w:pPr>
      <w:r>
        <w:t xml:space="preserve">2.3.1 Caractéristiques socio-démographiques</w:t>
      </w:r>
    </w:p>
    <w:bookmarkEnd w:id="101"/>
    <w:bookmarkStart w:id="119" w:name="éducation-et-scolarisation"/>
    <w:p>
      <w:pPr>
        <w:pStyle w:val="Titre3"/>
      </w:pPr>
      <w:r>
        <w:t xml:space="preserve">2.3.2 Éducation et scolarisation</w:t>
      </w:r>
    </w:p>
    <w:p>
      <w:pPr>
        <w:pStyle w:val="FirstParagraph"/>
      </w:pPr>
      <w:r>
        <w:t xml:space="preserve">Le niveau d’éducation des autres membres de ménage complète le portrait éducatif des familles. Les disparités entre sexes et entre observatoires donnent un aperçu des inégalités d’accès à l’éducation.</w:t>
      </w:r>
    </w:p>
    <w:bookmarkStart w:id="105" w:name="niveau-déducation-des-autres-membres"/>
    <w:p>
      <w:pPr>
        <w:pStyle w:val="Titre4"/>
      </w:pPr>
      <w:r>
        <w:t xml:space="preserve">2.3.2.1 Niveau d’éducation des autres membres</w:t>
      </w:r>
    </w:p>
    <w:p>
      <w:pPr>
        <w:pStyle w:val="CaptionedFigure"/>
      </w:pPr>
      <w:r>
        <w:drawing>
          <wp:inline>
            <wp:extent cx="4620126" cy="3696101"/>
            <wp:effectExtent b="0" l="0" r="0" t="0"/>
            <wp:docPr descr="Niveau d’éducation des autres membres" title="" id="103" name="Picture"/>
            <a:graphic>
              <a:graphicData uri="http://schemas.openxmlformats.org/drawingml/2006/picture">
                <pic:pic>
                  <pic:nvPicPr>
                    <pic:cNvPr descr="02_structure_menages_files/figure-docx/fig_other_educ-1.png" id="104" name="Picture"/>
                    <pic:cNvPicPr>
                      <a:picLocks noChangeArrowheads="1" noChangeAspect="1"/>
                    </pic:cNvPicPr>
                  </pic:nvPicPr>
                  <pic:blipFill>
                    <a:blip r:embed="rId102"/>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Niveau d’éducation des autres membres</w:t>
      </w:r>
    </w:p>
    <w:bookmarkEnd w:id="105"/>
    <w:bookmarkStart w:id="109" w:name="X5230d9ccd8aefad0269f3712b7f434c0dfba0a8"/>
    <w:p>
      <w:pPr>
        <w:pStyle w:val="Titre4"/>
      </w:pPr>
      <w:r>
        <w:t xml:space="preserve">2.3.2.2 Niveau d’éducation des autres membres par sexe</w:t>
      </w:r>
    </w:p>
    <w:p>
      <w:pPr>
        <w:pStyle w:val="CaptionedFigure"/>
      </w:pPr>
      <w:r>
        <w:drawing>
          <wp:inline>
            <wp:extent cx="4620126" cy="3696101"/>
            <wp:effectExtent b="0" l="0" r="0" t="0"/>
            <wp:docPr descr="Niveau d’éducation des autres membres par sexe" title="" id="107" name="Picture"/>
            <a:graphic>
              <a:graphicData uri="http://schemas.openxmlformats.org/drawingml/2006/picture">
                <pic:pic>
                  <pic:nvPicPr>
                    <pic:cNvPr descr="02_structure_menages_files/figure-docx/fig_other_educ_sex-1.png" id="108" name="Picture"/>
                    <pic:cNvPicPr>
                      <a:picLocks noChangeArrowheads="1" noChangeAspect="1"/>
                    </pic:cNvPicPr>
                  </pic:nvPicPr>
                  <pic:blipFill>
                    <a:blip r:embed="rId10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Niveau d’éducation des autres membres par sexe</w:t>
      </w:r>
    </w:p>
    <w:bookmarkEnd w:id="109"/>
    <w:bookmarkStart w:id="118" w:name="alphabétisation-des-autres-membres"/>
    <w:p>
      <w:pPr>
        <w:pStyle w:val="Titre4"/>
      </w:pPr>
      <w:r>
        <w:t xml:space="preserve">2.3.2.3 Alphabétisation des autres membres</w:t>
      </w:r>
    </w:p>
    <w:bookmarkStart w:id="113" w:name="savoir-lire-1"/>
    <w:p>
      <w:pPr>
        <w:pStyle w:val="Titre5"/>
      </w:pPr>
      <w:r>
        <w:t xml:space="preserve">2.3.2.3.1 Savoir lire</w:t>
      </w:r>
    </w:p>
    <w:p>
      <w:pPr>
        <w:pStyle w:val="CaptionedFigure"/>
      </w:pPr>
      <w:r>
        <w:drawing>
          <wp:inline>
            <wp:extent cx="4620126" cy="3696101"/>
            <wp:effectExtent b="0" l="0" r="0" t="0"/>
            <wp:docPr descr="Aptitude à la lecture des autres membres selon le sexe" title="" id="111" name="Picture"/>
            <a:graphic>
              <a:graphicData uri="http://schemas.openxmlformats.org/drawingml/2006/picture">
                <pic:pic>
                  <pic:nvPicPr>
                    <pic:cNvPr descr="02_structure_menages_files/figure-docx/fig_other_read_sex-1.png" id="112" name="Picture"/>
                    <pic:cNvPicPr>
                      <a:picLocks noChangeArrowheads="1" noChangeAspect="1"/>
                    </pic:cNvPicPr>
                  </pic:nvPicPr>
                  <pic:blipFill>
                    <a:blip r:embed="rId11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Aptitude à la lecture des autres membres selon le sexe</w:t>
      </w:r>
    </w:p>
    <w:bookmarkEnd w:id="113"/>
    <w:bookmarkStart w:id="117" w:name="savoir-écrire-1"/>
    <w:p>
      <w:pPr>
        <w:pStyle w:val="Titre5"/>
      </w:pPr>
      <w:r>
        <w:t xml:space="preserve">2.3.2.3.2 Savoir écrire</w:t>
      </w:r>
    </w:p>
    <w:p>
      <w:pPr>
        <w:pStyle w:val="CaptionedFigure"/>
      </w:pPr>
      <w:r>
        <w:drawing>
          <wp:inline>
            <wp:extent cx="4620126" cy="3696101"/>
            <wp:effectExtent b="0" l="0" r="0" t="0"/>
            <wp:docPr descr="Aptitude à l’écriture des autres membres selon le sexe" title="" id="115" name="Picture"/>
            <a:graphic>
              <a:graphicData uri="http://schemas.openxmlformats.org/drawingml/2006/picture">
                <pic:pic>
                  <pic:nvPicPr>
                    <pic:cNvPr descr="02_structure_menages_files/figure-docx/fig_other_write_sex-1.png" id="116" name="Picture"/>
                    <pic:cNvPicPr>
                      <a:picLocks noChangeArrowheads="1" noChangeAspect="1"/>
                    </pic:cNvPicPr>
                  </pic:nvPicPr>
                  <pic:blipFill>
                    <a:blip r:embed="rId114"/>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Aptitude à l’écriture des autres membres selon le sexe</w:t>
      </w:r>
    </w:p>
    <w:bookmarkEnd w:id="117"/>
    <w:bookmarkEnd w:id="118"/>
    <w:bookmarkEnd w:id="119"/>
    <w:bookmarkStart w:id="126" w:name="scolarisation"/>
    <w:p>
      <w:pPr>
        <w:pStyle w:val="Titre3"/>
      </w:pPr>
      <w:r>
        <w:t xml:space="preserve">2.3.3 Scolarisation</w:t>
      </w:r>
    </w:p>
    <w:p>
      <w:pPr>
        <w:pStyle w:val="FirstParagraph"/>
      </w:pPr>
      <w:r>
        <w:t xml:space="preserve">Le taux de scolarisation des enfants de 6 à 14 ans constitue un indicateur clé du développement humain et de l’investissement des ménages dans l’éducation.</w:t>
      </w:r>
    </w:p>
    <w:p>
      <w:pPr>
        <w:pStyle w:val="Corpsdetexte"/>
      </w:pPr>
      <w:r>
        <w:t xml:space="preserve">Dans Marovoay, le taux de scolarisation s’élève à 81.7 %.</w:t>
      </w:r>
    </w:p>
    <w:bookmarkStart w:id="120" w:name="X6d9aa1dd44c1ac9e432add0b434b8dafb589d26"/>
    <w:p>
      <w:pPr>
        <w:pStyle w:val="Titre4"/>
      </w:pPr>
      <w:r>
        <w:t xml:space="preserve">2.3.3.1 Taux de scolarisation des enfants de 6 à 14 ans</w:t>
      </w:r>
    </w:p>
    <w:bookmarkEnd w:id="120"/>
    <w:bookmarkStart w:id="125" w:name="Xe1cead9d2afb94967e0a6d7bde7feca3037673d"/>
    <w:p>
      <w:pPr>
        <w:pStyle w:val="Titre4"/>
      </w:pPr>
      <w:r>
        <w:t xml:space="preserve">2.3.3.2 Raisons de non fréquentation de l’école pour les 6 à 15 ans</w:t>
      </w:r>
    </w:p>
    <w:p>
      <w:pPr>
        <w:pStyle w:val="FirstParagraph"/>
      </w:pPr>
      <w:r>
        <w:t xml:space="preserve">La</w:t>
      </w:r>
      <w:r>
        <w:t xml:space="preserve"> </w:t>
      </w:r>
      <w:hyperlink w:anchor="fig-raisons-non-scol">
        <w:r>
          <w:rPr>
            <w:rStyle w:val="Lienhypertexte"/>
          </w:rPr>
          <w:t xml:space="preserve">Figure 2.2</w:t>
        </w:r>
      </w:hyperlink>
      <w:r>
        <w:t xml:space="preserve"> </w:t>
      </w:r>
      <w:r>
        <w:t xml:space="preserve">détaille l’ensemble des motifs de non-scolarisation cités.</w:t>
      </w:r>
    </w:p>
    <w:p>
      <w:pPr>
        <w:pStyle w:val="Corpsdetexte"/>
      </w:pPr>
      <w:r>
        <w:t xml:space="preserve">A Marovoay, parmi les enfants de 6 à 15 ans non scolarisés, la première raison invoquée est « Frais trop élevés » (52.1 %).</w:t>
      </w:r>
    </w:p>
    <w:tbl>
      <w:tblPr>
        <w:tblStyle w:val="Table"/>
        <w:tblW w:type="pct" w:w="5000"/>
        <w:tblLayout w:type="fixed"/>
        <w:tblLook w:firstRow="0" w:lastRow="0" w:firstColumn="0" w:lastColumn="0" w:noHBand="0" w:noVBand="0" w:val="0000"/>
      </w:tblPr>
      <w:tblGrid>
        <w:gridCol w:w="7920"/>
      </w:tblGrid>
      <w:tr>
        <w:tc>
          <w:tcPr/>
          <w:bookmarkStart w:id="124" w:name="fig-raisons-non-scol"/>
          <w:p>
            <w:pPr>
              <w:jc w:val="center"/>
            </w:pPr>
            <w:pPr>
              <w:jc w:val="left"/>
              <w:spacing w:before="200"/>
              <w:pStyle w:val="ImageCaption"/>
            </w:pPr>
            <w:r>
              <w:t xml:space="preserve">Figure 2.2: Principales raisons de non-scolarisation ou d’arrêt des études (6-15 ans)</w:t>
            </w:r>
          </w:p>
          <w:p>
            <w:pPr>
              <w:pStyle w:val="Compact"/>
              <w:jc w:val="center"/>
            </w:pPr>
            <w:r>
              <w:drawing>
                <wp:inline>
                  <wp:extent cx="5969000" cy="3581400"/>
                  <wp:effectExtent b="0" l="0" r="0" t="0"/>
                  <wp:docPr descr="" title="" id="122" name="Picture"/>
                  <a:graphic>
                    <a:graphicData uri="http://schemas.openxmlformats.org/drawingml/2006/picture">
                      <pic:pic>
                        <pic:nvPicPr>
                          <pic:cNvPr descr="02_structure_menages_files/figure-docx/fig-raisons-non-scol-1.png" id="123" name="Picture"/>
                          <pic:cNvPicPr>
                            <a:picLocks noChangeArrowheads="1" noChangeAspect="1"/>
                          </pic:cNvPicPr>
                        </pic:nvPicPr>
                        <pic:blipFill>
                          <a:blip r:embed="rId121"/>
                          <a:stretch>
                            <a:fillRect/>
                          </a:stretch>
                        </pic:blipFill>
                        <pic:spPr bwMode="auto">
                          <a:xfrm>
                            <a:off x="0" y="0"/>
                            <a:ext cx="5969000" cy="3581400"/>
                          </a:xfrm>
                          <a:prstGeom prst="rect">
                            <a:avLst/>
                          </a:prstGeom>
                          <a:noFill/>
                          <a:ln w="9525">
                            <a:noFill/>
                            <a:headEnd/>
                            <a:tailEnd/>
                          </a:ln>
                        </pic:spPr>
                      </pic:pic>
                    </a:graphicData>
                  </a:graphic>
                </wp:inline>
              </w:drawing>
            </w:r>
          </w:p>
          <w:bookmarkEnd w:id="124"/>
        </w:tc>
      </w:tr>
    </w:tbl>
    <w:bookmarkEnd w:id="125"/>
    <w:bookmarkEnd w:id="126"/>
    <w:bookmarkStart w:id="136" w:name="Xe10b0f911d4aea72fedebcae4fa3fbee9ebe092"/>
    <w:p>
      <w:pPr>
        <w:pStyle w:val="Titre3"/>
      </w:pPr>
      <w:r>
        <w:t xml:space="preserve">2.3.4 Activités principales des autres membres de ménages</w:t>
      </w:r>
    </w:p>
    <w:p>
      <w:pPr>
        <w:pStyle w:val="FirstParagraph"/>
      </w:pPr>
      <w:r>
        <w:t xml:space="preserve">La répartition sectorielle des activités des autres membres de ménage reflète la diversification économique au sein des familles et le rôle des conjoints et enfants dans l’économie du ménage. Les activités sont regroupées selon la même nomenclature sectorielle que pour les CM.</w:t>
      </w:r>
    </w:p>
    <w:tbl>
      <w:tblPr>
        <w:tblStyle w:val="Table"/>
        <w:tblW w:type="pct" w:w="5000"/>
        <w:tblLayout w:type="fixed"/>
        <w:tblLook w:firstRow="0" w:lastRow="0" w:firstColumn="0" w:lastColumn="0" w:noHBand="0" w:noVBand="0" w:val="0000"/>
      </w:tblPr>
      <w:tblGrid>
        <w:gridCol w:w="7920"/>
      </w:tblGrid>
      <w:tr>
        <w:tc>
          <w:tcPr/>
          <w:bookmarkStart w:id="131" w:name="fig-other-act"/>
          <w:p>
            <w:pPr>
              <w:jc w:val="center"/>
            </w:pPr>
            <w:pPr>
              <w:jc w:val="left"/>
              <w:spacing w:before="200"/>
              <w:pStyle w:val="ImageCaption"/>
            </w:pPr>
            <w:r>
              <w:t xml:space="preserve">Figure 2.3</w:t>
            </w:r>
          </w:p>
          <w:p>
            <w:pPr>
              <w:pStyle w:val="Compact"/>
              <w:jc w:val="center"/>
            </w:pPr>
            <w:bookmarkStart w:id="130" w:name="fig-other-act"/>
            <w:r>
              <w:drawing>
                <wp:inline>
                  <wp:extent cx="4620126" cy="9240252"/>
                  <wp:effectExtent b="0" l="0" r="0" t="0"/>
                  <wp:docPr descr="" title="" id="128" name="Picture"/>
                  <a:graphic>
                    <a:graphicData uri="http://schemas.openxmlformats.org/drawingml/2006/picture">
                      <pic:pic>
                        <pic:nvPicPr>
                          <pic:cNvPr descr="02_structure_menages_files/figure-docx/fig-other-act-1.png" id="129" name="Picture"/>
                          <pic:cNvPicPr>
                            <a:picLocks noChangeArrowheads="1" noChangeAspect="1"/>
                          </pic:cNvPicPr>
                        </pic:nvPicPr>
                        <pic:blipFill>
                          <a:blip r:embed="rId127"/>
                          <a:stretch>
                            <a:fillRect/>
                          </a:stretch>
                        </pic:blipFill>
                        <pic:spPr bwMode="auto">
                          <a:xfrm>
                            <a:off x="0" y="0"/>
                            <a:ext cx="4620126" cy="9240252"/>
                          </a:xfrm>
                          <a:prstGeom prst="rect">
                            <a:avLst/>
                          </a:prstGeom>
                          <a:noFill/>
                          <a:ln w="9525">
                            <a:noFill/>
                            <a:headEnd/>
                            <a:tailEnd/>
                          </a:ln>
                        </pic:spPr>
                      </pic:pic>
                    </a:graphicData>
                  </a:graphic>
                </wp:inline>
              </w:drawing>
            </w:r>
            <w:bookmarkEnd w:id="130"/>
          </w:p>
          <w:bookmarkEnd w:id="131"/>
        </w:tc>
      </w:tr>
    </w:tbl>
    <w:bookmarkStart w:id="135" w:name="X46ff1d61f791f42f47b783b920cfc68895dbbf2"/>
    <w:p>
      <w:pPr>
        <w:pStyle w:val="Titre4"/>
      </w:pPr>
      <w:r>
        <w:t xml:space="preserve">2.3.4.1 Activités principales des autres membres par sexe</w:t>
      </w:r>
    </w:p>
    <w:p>
      <w:pPr>
        <w:pStyle w:val="FirstParagraph"/>
      </w:pPr>
      <w:r>
        <w:drawing>
          <wp:inline>
            <wp:extent cx="4620126" cy="9240252"/>
            <wp:effectExtent b="0" l="0" r="0" t="0"/>
            <wp:docPr descr="" title="" id="133" name="Picture"/>
            <a:graphic>
              <a:graphicData uri="http://schemas.openxmlformats.org/drawingml/2006/picture">
                <pic:pic>
                  <pic:nvPicPr>
                    <pic:cNvPr descr="02_structure_menages_files/figure-docx/fig_other_act_sex-1.png" id="134" name="Picture"/>
                    <pic:cNvPicPr>
                      <a:picLocks noChangeArrowheads="1" noChangeAspect="1"/>
                    </pic:cNvPicPr>
                  </pic:nvPicPr>
                  <pic:blipFill>
                    <a:blip r:embed="rId132"/>
                    <a:stretch>
                      <a:fillRect/>
                    </a:stretch>
                  </pic:blipFill>
                  <pic:spPr bwMode="auto">
                    <a:xfrm>
                      <a:off x="0" y="0"/>
                      <a:ext cx="4620126" cy="9240252"/>
                    </a:xfrm>
                    <a:prstGeom prst="rect">
                      <a:avLst/>
                    </a:prstGeom>
                    <a:noFill/>
                    <a:ln w="9525">
                      <a:noFill/>
                      <a:headEnd/>
                      <a:tailEnd/>
                    </a:ln>
                  </pic:spPr>
                </pic:pic>
              </a:graphicData>
            </a:graphic>
          </wp:inline>
        </w:drawing>
      </w:r>
    </w:p>
    <w:bookmarkEnd w:id="135"/>
    <w:bookmarkEnd w:id="136"/>
    <w:bookmarkEnd w:id="137"/>
    <w:bookmarkEnd w:id="138"/>
    <w:bookmarkStart w:id="193" w:name="habitat-et-niveau-de-vie"/>
    <w:p>
      <w:pPr>
        <w:pStyle w:val="Titre1"/>
      </w:pPr>
      <w:r>
        <w:t xml:space="preserve">3. Habitat et niveau de vie</w:t>
      </w:r>
    </w:p>
    <w:p>
      <w:pPr>
        <w:pStyle w:val="FirstParagraph"/>
      </w:pPr>
      <w:r>
        <w:t xml:space="preserve">Cette section decrit les conditions d’habitat, les equipements des menages, leurs transferts et revenus.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139" name="Picture"/>
                  <a:graphic>
                    <a:graphicData uri="http://schemas.openxmlformats.org/drawingml/2006/picture">
                      <pic:pic>
                        <pic:nvPicPr>
                          <pic:cNvPr descr="C:\Users\fbede\AppData\Local\Programs\Quarto\share\formats\docx\warning.png" id="140"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p>
      <w:pPr>
        <w:pStyle w:val="Corpsdetexte"/>
      </w:pPr>
      <w:r>
        <w:t xml:space="preserve">À Marovoay, les conditions d’habitat sont étroitement liées à la position des ménages par rapport au fleuve Betsiboka. Les fokontany de la rive droite (Bepako, Madiromiongana), situés en lisière du Parc national d’Ankarafantsika, ont un accès plus limité aux ressources en bois et matériaux de construction, notamment en raison des restrictions liées à la conservation. L’approvisionnement en eau dépend en grande partie du fleuve et de puits traditionnels. L’équipement agricole y est dominé par les outils manuels, complétés par le recours à la traction bovine pour le labour des rizières.</w:t>
      </w:r>
    </w:p>
    <w:bookmarkStart w:id="163" w:name="habitat"/>
    <w:p>
      <w:pPr>
        <w:pStyle w:val="Titre2"/>
      </w:pPr>
      <w:r>
        <w:t xml:space="preserve">3.1 Habitat</w:t>
      </w:r>
    </w:p>
    <w:p>
      <w:pPr>
        <w:pStyle w:val="FirstParagraph"/>
      </w:pPr>
      <w:r>
        <w:t xml:space="preserve">Les conditions d’habitat des ménages enquêtés témoignent des réalités du milieu rural malgache. Le statut d’occupation, le type d’assainissement, l’accès à l’eau, le mode d’éclairage et la source d’énergie de cuisson constituent des indicateurs essentiels du cadre de vie.</w:t>
      </w:r>
    </w:p>
    <w:bookmarkStart w:id="144" w:name="statut-doccupation-du-logement"/>
    <w:p>
      <w:pPr>
        <w:pStyle w:val="Titre3"/>
      </w:pPr>
      <w:r>
        <w:t xml:space="preserve">3.1.1 Statut d’occupation du logement</w:t>
      </w:r>
    </w:p>
    <w:p>
      <w:pPr>
        <w:pStyle w:val="FirstParagraph"/>
      </w:pPr>
      <w:r>
        <w:t xml:space="preserve">Le statut d’occupation du logement traduit la sécurité résidentielle des ménages.</w:t>
      </w:r>
    </w:p>
    <w:p>
      <w:pPr>
        <w:pStyle w:val="Corpsdetexte"/>
      </w:pPr>
      <w:r>
        <w:t xml:space="preserve">A Marovoay, 88.1 % des ménages occupent un logement en « En propriété ».</w:t>
      </w:r>
    </w:p>
    <w:p>
      <w:pPr>
        <w:pStyle w:val="Corpsdetexte"/>
      </w:pPr>
      <w:r>
        <w:drawing>
          <wp:inline>
            <wp:extent cx="4620126" cy="6092791"/>
            <wp:effectExtent b="0" l="0" r="0" t="0"/>
            <wp:docPr descr="" title="" id="142" name="Picture"/>
            <a:graphic>
              <a:graphicData uri="http://schemas.openxmlformats.org/drawingml/2006/picture">
                <pic:pic>
                  <pic:nvPicPr>
                    <pic:cNvPr descr="03_habitat_niveau_de_vie_files/figure-docx/unnamed-chunk-1-1.png" id="143" name="Picture"/>
                    <pic:cNvPicPr>
                      <a:picLocks noChangeArrowheads="1" noChangeAspect="1"/>
                    </pic:cNvPicPr>
                  </pic:nvPicPr>
                  <pic:blipFill>
                    <a:blip r:embed="rId141"/>
                    <a:stretch>
                      <a:fillRect/>
                    </a:stretch>
                  </pic:blipFill>
                  <pic:spPr bwMode="auto">
                    <a:xfrm>
                      <a:off x="0" y="0"/>
                      <a:ext cx="4620126" cy="6092791"/>
                    </a:xfrm>
                    <a:prstGeom prst="rect">
                      <a:avLst/>
                    </a:prstGeom>
                    <a:noFill/>
                    <a:ln w="9525">
                      <a:noFill/>
                      <a:headEnd/>
                      <a:tailEnd/>
                    </a:ln>
                  </pic:spPr>
                </pic:pic>
              </a:graphicData>
            </a:graphic>
          </wp:inline>
        </w:drawing>
      </w:r>
    </w:p>
    <w:bookmarkEnd w:id="144"/>
    <w:bookmarkStart w:id="148" w:name="type-de-latrine"/>
    <w:p>
      <w:pPr>
        <w:pStyle w:val="Titre3"/>
      </w:pPr>
      <w:r>
        <w:t xml:space="preserve">3.1.2 Type de latrine</w:t>
      </w:r>
    </w:p>
    <w:p>
      <w:pPr>
        <w:pStyle w:val="FirstParagraph"/>
      </w:pPr>
      <w:r>
        <w:t xml:space="preserve">Le type de latrine constitue un indicateur sanitaire fondamental.</w:t>
      </w:r>
    </w:p>
    <w:p>
      <w:pPr>
        <w:pStyle w:val="Corpsdetexte"/>
      </w:pPr>
      <w:r>
        <w:t xml:space="preserve">A Marovoay, Le type dominant est « Dans la nature » (48.2 % des ménages).</w:t>
      </w:r>
    </w:p>
    <w:p>
      <w:pPr>
        <w:pStyle w:val="Corpsdetexte"/>
      </w:pPr>
      <w:r>
        <w:drawing>
          <wp:inline>
            <wp:extent cx="4620126" cy="8499107"/>
            <wp:effectExtent b="0" l="0" r="0" t="0"/>
            <wp:docPr descr="" title="" id="146" name="Picture"/>
            <a:graphic>
              <a:graphicData uri="http://schemas.openxmlformats.org/drawingml/2006/picture">
                <pic:pic>
                  <pic:nvPicPr>
                    <pic:cNvPr descr="03_habitat_niveau_de_vie_files/figure-docx/unnamed-chunk-2-1.png" id="147" name="Picture"/>
                    <pic:cNvPicPr>
                      <a:picLocks noChangeArrowheads="1" noChangeAspect="1"/>
                    </pic:cNvPicPr>
                  </pic:nvPicPr>
                  <pic:blipFill>
                    <a:blip r:embed="rId145"/>
                    <a:stretch>
                      <a:fillRect/>
                    </a:stretch>
                  </pic:blipFill>
                  <pic:spPr bwMode="auto">
                    <a:xfrm>
                      <a:off x="0" y="0"/>
                      <a:ext cx="4620126" cy="8499107"/>
                    </a:xfrm>
                    <a:prstGeom prst="rect">
                      <a:avLst/>
                    </a:prstGeom>
                    <a:noFill/>
                    <a:ln w="9525">
                      <a:noFill/>
                      <a:headEnd/>
                      <a:tailEnd/>
                    </a:ln>
                  </pic:spPr>
                </pic:pic>
              </a:graphicData>
            </a:graphic>
          </wp:inline>
        </w:drawing>
      </w:r>
    </w:p>
    <w:bookmarkEnd w:id="148"/>
    <w:bookmarkStart w:id="152" w:name="acces-a-leau"/>
    <w:p>
      <w:pPr>
        <w:pStyle w:val="Titre3"/>
      </w:pPr>
      <w:r>
        <w:t xml:space="preserve">3.1.3 Acces a l’eau</w:t>
      </w:r>
    </w:p>
    <w:p>
      <w:pPr>
        <w:pStyle w:val="FirstParagraph"/>
      </w:pPr>
      <w:r>
        <w:t xml:space="preserve">L’approvisionnement en eau détermine en grande partie les conditions sanitaires des ménages ruraux.</w:t>
      </w:r>
    </w:p>
    <w:p>
      <w:pPr>
        <w:pStyle w:val="Corpsdetexte"/>
      </w:pPr>
      <w:r>
        <w:t xml:space="preserve">A Marovoay, La source principale est « Cours d?eau » (37.4 %).</w:t>
      </w:r>
    </w:p>
    <w:p>
      <w:pPr>
        <w:pStyle w:val="Corpsdetexte"/>
      </w:pPr>
      <w:r>
        <w:drawing>
          <wp:inline>
            <wp:extent cx="4620126" cy="9240252"/>
            <wp:effectExtent b="0" l="0" r="0" t="0"/>
            <wp:docPr descr="" title="" id="150" name="Picture"/>
            <a:graphic>
              <a:graphicData uri="http://schemas.openxmlformats.org/drawingml/2006/picture">
                <pic:pic>
                  <pic:nvPicPr>
                    <pic:cNvPr descr="03_habitat_niveau_de_vie_files/figure-docx/unnamed-chunk-3-1.png" id="151" name="Picture"/>
                    <pic:cNvPicPr>
                      <a:picLocks noChangeArrowheads="1" noChangeAspect="1"/>
                    </pic:cNvPicPr>
                  </pic:nvPicPr>
                  <pic:blipFill>
                    <a:blip r:embed="rId149"/>
                    <a:stretch>
                      <a:fillRect/>
                    </a:stretch>
                  </pic:blipFill>
                  <pic:spPr bwMode="auto">
                    <a:xfrm>
                      <a:off x="0" y="0"/>
                      <a:ext cx="4620126" cy="9240252"/>
                    </a:xfrm>
                    <a:prstGeom prst="rect">
                      <a:avLst/>
                    </a:prstGeom>
                    <a:noFill/>
                    <a:ln w="9525">
                      <a:noFill/>
                      <a:headEnd/>
                      <a:tailEnd/>
                    </a:ln>
                  </pic:spPr>
                </pic:pic>
              </a:graphicData>
            </a:graphic>
          </wp:inline>
        </w:drawing>
      </w:r>
    </w:p>
    <w:bookmarkEnd w:id="152"/>
    <w:bookmarkStart w:id="156" w:name="mode-declairage"/>
    <w:p>
      <w:pPr>
        <w:pStyle w:val="Titre3"/>
      </w:pPr>
      <w:r>
        <w:t xml:space="preserve">3.1.4 Mode d’eclairage</w:t>
      </w:r>
    </w:p>
    <w:p>
      <w:pPr>
        <w:pStyle w:val="FirstParagraph"/>
      </w:pPr>
      <w:r>
        <w:t xml:space="preserve">Le mode d’éclairage reflète le niveau d’accès à l’énergie moderne. Les ménages ruraux dépendent encore largement de sources traditionnelles, même si la pénétration du solaire progresse.</w:t>
      </w:r>
    </w:p>
    <w:p>
      <w:pPr>
        <w:pStyle w:val="Corpsdetexte"/>
      </w:pPr>
      <w:r>
        <w:drawing>
          <wp:inline>
            <wp:extent cx="4620126" cy="9240252"/>
            <wp:effectExtent b="0" l="0" r="0" t="0"/>
            <wp:docPr descr="" title="" id="154" name="Picture"/>
            <a:graphic>
              <a:graphicData uri="http://schemas.openxmlformats.org/drawingml/2006/picture">
                <pic:pic>
                  <pic:nvPicPr>
                    <pic:cNvPr descr="03_habitat_niveau_de_vie_files/figure-docx/unnamed-chunk-4-1.png" id="155" name="Picture"/>
                    <pic:cNvPicPr>
                      <a:picLocks noChangeArrowheads="1" noChangeAspect="1"/>
                    </pic:cNvPicPr>
                  </pic:nvPicPr>
                  <pic:blipFill>
                    <a:blip r:embed="rId153"/>
                    <a:stretch>
                      <a:fillRect/>
                    </a:stretch>
                  </pic:blipFill>
                  <pic:spPr bwMode="auto">
                    <a:xfrm>
                      <a:off x="0" y="0"/>
                      <a:ext cx="4620126" cy="9240252"/>
                    </a:xfrm>
                    <a:prstGeom prst="rect">
                      <a:avLst/>
                    </a:prstGeom>
                    <a:noFill/>
                    <a:ln w="9525">
                      <a:noFill/>
                      <a:headEnd/>
                      <a:tailEnd/>
                    </a:ln>
                  </pic:spPr>
                </pic:pic>
              </a:graphicData>
            </a:graphic>
          </wp:inline>
        </w:drawing>
      </w:r>
    </w:p>
    <w:p>
      <w:pPr>
        <w:pStyle w:val="Corpsdetexte"/>
      </w:pPr>
      <w:r>
        <w:t xml:space="preserve">Parmi les ménages utilisant le solaire, la proportion disposant d’un panneau en état de marche est présentée ci-dessous.</w:t>
      </w:r>
    </w:p>
    <w:bookmarkEnd w:id="156"/>
    <w:bookmarkStart w:id="162" w:name="source-denergie-pour-la-cuisson"/>
    <w:p>
      <w:pPr>
        <w:pStyle w:val="Titre3"/>
      </w:pPr>
      <w:r>
        <w:t xml:space="preserve">3.1.5 Source d’energie pour la cuisson</w:t>
      </w:r>
    </w:p>
    <w:p>
      <w:pPr>
        <w:pStyle w:val="FirstParagraph"/>
      </w:pPr>
      <w:r>
        <w:t xml:space="preserve">La quasi-totalité des ménages ruraux malgaches dépendent de la biomasse pour la cuisson. La nature exacte du combustible utilisé (bois, charbon de bois) varie selon la disponibilité locale des ressources forestières.</w:t>
      </w:r>
    </w:p>
    <w:tbl>
      <w:tblPr>
        <w:tblStyle w:val="Table"/>
        <w:tblW w:type="pct" w:w="5000"/>
        <w:tblLayout w:type="fixed"/>
        <w:tblLook w:firstRow="0" w:lastRow="0" w:firstColumn="0" w:lastColumn="0" w:noHBand="0" w:noVBand="0" w:val="0000"/>
      </w:tblPr>
      <w:tblGrid>
        <w:gridCol w:w="7920"/>
      </w:tblGrid>
      <w:tr>
        <w:tc>
          <w:tcPr/>
          <w:bookmarkStart w:id="161" w:name="fig-cooking"/>
          <w:p>
            <w:pPr>
              <w:jc w:val="center"/>
            </w:pPr>
            <w:pPr>
              <w:jc w:val="left"/>
              <w:spacing w:before="200"/>
              <w:pStyle w:val="ImageCaption"/>
            </w:pPr>
            <w:r>
              <w:t xml:space="preserve">Figure 3.1</w:t>
            </w:r>
          </w:p>
          <w:p>
            <w:pPr>
              <w:pStyle w:val="Compact"/>
              <w:jc w:val="center"/>
            </w:pPr>
            <w:bookmarkStart w:id="160" w:name="fig-cooking"/>
            <w:r>
              <w:drawing>
                <wp:inline>
                  <wp:extent cx="4620126" cy="7295949"/>
                  <wp:effectExtent b="0" l="0" r="0" t="0"/>
                  <wp:docPr descr="" title="" id="158" name="Picture"/>
                  <a:graphic>
                    <a:graphicData uri="http://schemas.openxmlformats.org/drawingml/2006/picture">
                      <pic:pic>
                        <pic:nvPicPr>
                          <pic:cNvPr descr="03_habitat_niveau_de_vie_files/figure-docx/fig-cooking-1.png" id="159" name="Picture"/>
                          <pic:cNvPicPr>
                            <a:picLocks noChangeArrowheads="1" noChangeAspect="1"/>
                          </pic:cNvPicPr>
                        </pic:nvPicPr>
                        <pic:blipFill>
                          <a:blip r:embed="rId157"/>
                          <a:stretch>
                            <a:fillRect/>
                          </a:stretch>
                        </pic:blipFill>
                        <pic:spPr bwMode="auto">
                          <a:xfrm>
                            <a:off x="0" y="0"/>
                            <a:ext cx="4620126" cy="7295949"/>
                          </a:xfrm>
                          <a:prstGeom prst="rect">
                            <a:avLst/>
                          </a:prstGeom>
                          <a:noFill/>
                          <a:ln w="9525">
                            <a:noFill/>
                            <a:headEnd/>
                            <a:tailEnd/>
                          </a:ln>
                        </pic:spPr>
                      </pic:pic>
                    </a:graphicData>
                  </a:graphic>
                </wp:inline>
              </w:drawing>
            </w:r>
            <w:bookmarkEnd w:id="160"/>
          </w:p>
          <w:bookmarkEnd w:id="161"/>
        </w:tc>
      </w:tr>
    </w:tbl>
    <w:bookmarkEnd w:id="162"/>
    <w:bookmarkEnd w:id="163"/>
    <w:bookmarkStart w:id="182" w:name="niveau-de-vie"/>
    <w:p>
      <w:pPr>
        <w:pStyle w:val="Titre2"/>
      </w:pPr>
      <w:r>
        <w:t xml:space="preserve">3.2 Niveau de vie</w:t>
      </w:r>
    </w:p>
    <w:p>
      <w:pPr>
        <w:pStyle w:val="FirstParagraph"/>
      </w:pPr>
      <w:r>
        <w:t xml:space="preserve">La possession de biens durables constitue un proxy classique du niveau de vie des ménages en milieu rural, où les revenus monétaires sont souvent difficiles à mesurer.</w:t>
      </w:r>
    </w:p>
    <w:bookmarkStart w:id="169" w:name="biens-de-confort-courant"/>
    <w:p>
      <w:pPr>
        <w:pStyle w:val="Titre3"/>
      </w:pPr>
      <w:r>
        <w:t xml:space="preserve">3.2.1 Biens de confort courant</w:t>
      </w:r>
    </w:p>
    <w:p>
      <w:pPr>
        <w:pStyle w:val="FirstParagraph"/>
      </w:pPr>
      <w:r>
        <w:t xml:space="preserve">Les biens de confort courant (mobilier, ustensiles, outils) renseignent sur le niveau d’équipement quotidien des ménages et constituent un indicateur de bien-être matériel.</w:t>
      </w:r>
    </w:p>
    <w:tbl>
      <w:tblPr>
        <w:tblStyle w:val="Table"/>
        <w:tblW w:type="pct" w:w="5000"/>
        <w:tblLayout w:type="fixed"/>
        <w:tblLook w:firstRow="0" w:lastRow="0" w:firstColumn="0" w:lastColumn="0" w:noHBand="0" w:noVBand="0" w:val="0000"/>
      </w:tblPr>
      <w:tblGrid>
        <w:gridCol w:w="7920"/>
      </w:tblGrid>
      <w:tr>
        <w:tc>
          <w:tcPr/>
          <w:bookmarkStart w:id="168" w:name="fig-comfort"/>
          <w:p>
            <w:pPr>
              <w:jc w:val="center"/>
            </w:pPr>
            <w:pPr>
              <w:jc w:val="left"/>
              <w:spacing w:before="200"/>
              <w:pStyle w:val="ImageCaption"/>
            </w:pPr>
            <w:r>
              <w:t xml:space="preserve">Figure 3.2</w:t>
            </w:r>
          </w:p>
          <w:p>
            <w:pPr>
              <w:pStyle w:val="Compact"/>
              <w:jc w:val="center"/>
            </w:pPr>
            <w:bookmarkStart w:id="167" w:name="fig-comfort"/>
            <w:r>
              <w:drawing>
                <wp:inline>
                  <wp:extent cx="4620126" cy="9240252"/>
                  <wp:effectExtent b="0" l="0" r="0" t="0"/>
                  <wp:docPr descr="" title="" id="165" name="Picture"/>
                  <a:graphic>
                    <a:graphicData uri="http://schemas.openxmlformats.org/drawingml/2006/picture">
                      <pic:pic>
                        <pic:nvPicPr>
                          <pic:cNvPr descr="03_habitat_niveau_de_vie_files/figure-docx/fig-comfort-1.png" id="166" name="Picture"/>
                          <pic:cNvPicPr>
                            <a:picLocks noChangeArrowheads="1" noChangeAspect="1"/>
                          </pic:cNvPicPr>
                        </pic:nvPicPr>
                        <pic:blipFill>
                          <a:blip r:embed="rId164"/>
                          <a:stretch>
                            <a:fillRect/>
                          </a:stretch>
                        </pic:blipFill>
                        <pic:spPr bwMode="auto">
                          <a:xfrm>
                            <a:off x="0" y="0"/>
                            <a:ext cx="4620126" cy="9240252"/>
                          </a:xfrm>
                          <a:prstGeom prst="rect">
                            <a:avLst/>
                          </a:prstGeom>
                          <a:noFill/>
                          <a:ln w="9525">
                            <a:noFill/>
                            <a:headEnd/>
                            <a:tailEnd/>
                          </a:ln>
                        </pic:spPr>
                      </pic:pic>
                    </a:graphicData>
                  </a:graphic>
                </wp:inline>
              </w:drawing>
            </w:r>
            <w:bookmarkEnd w:id="167"/>
          </w:p>
          <w:bookmarkEnd w:id="168"/>
        </w:tc>
      </w:tr>
    </w:tbl>
    <w:bookmarkEnd w:id="169"/>
    <w:bookmarkStart w:id="175" w:name="equipement-agricole"/>
    <w:p>
      <w:pPr>
        <w:pStyle w:val="Titre3"/>
      </w:pPr>
      <w:r>
        <w:t xml:space="preserve">3.2.2 Equipement agricole</w:t>
      </w:r>
    </w:p>
    <w:p>
      <w:pPr>
        <w:pStyle w:val="FirstParagraph"/>
      </w:pPr>
      <w:r>
        <w:t xml:space="preserve">L’équipement agricole conditionne la productivité et la capacité d’extension des surfaces cultivées. La possession de matériel mécanisé ou de traction animale constitue un facteur de différenciation important entre les ménages.</w:t>
      </w:r>
    </w:p>
    <w:tbl>
      <w:tblPr>
        <w:tblStyle w:val="Table"/>
        <w:tblW w:type="pct" w:w="5000"/>
        <w:tblLayout w:type="fixed"/>
        <w:tblLook w:firstRow="0" w:lastRow="0" w:firstColumn="0" w:lastColumn="0" w:noHBand="0" w:noVBand="0" w:val="0000"/>
      </w:tblPr>
      <w:tblGrid>
        <w:gridCol w:w="7920"/>
      </w:tblGrid>
      <w:tr>
        <w:tc>
          <w:tcPr/>
          <w:bookmarkStart w:id="174" w:name="fig-table-equip"/>
          <w:p>
            <w:pPr>
              <w:jc w:val="center"/>
            </w:pPr>
            <w:pPr>
              <w:jc w:val="left"/>
              <w:spacing w:before="200"/>
              <w:pStyle w:val="ImageCaption"/>
            </w:pPr>
            <w:r>
              <w:t xml:space="preserve">Figure 3.3</w:t>
            </w:r>
          </w:p>
          <w:p>
            <w:pPr>
              <w:pStyle w:val="Compact"/>
              <w:jc w:val="center"/>
            </w:pPr>
            <w:bookmarkStart w:id="173" w:name="fig-table-equip"/>
            <w:r>
              <w:drawing>
                <wp:inline>
                  <wp:extent cx="4620126" cy="9240252"/>
                  <wp:effectExtent b="0" l="0" r="0" t="0"/>
                  <wp:docPr descr="" title="" id="171" name="Picture"/>
                  <a:graphic>
                    <a:graphicData uri="http://schemas.openxmlformats.org/drawingml/2006/picture">
                      <pic:pic>
                        <pic:nvPicPr>
                          <pic:cNvPr descr="03_habitat_niveau_de_vie_files/figure-docx/fig-table-equip-1.png" id="172" name="Picture"/>
                          <pic:cNvPicPr>
                            <a:picLocks noChangeArrowheads="1" noChangeAspect="1"/>
                          </pic:cNvPicPr>
                        </pic:nvPicPr>
                        <pic:blipFill>
                          <a:blip r:embed="rId170"/>
                          <a:stretch>
                            <a:fillRect/>
                          </a:stretch>
                        </pic:blipFill>
                        <pic:spPr bwMode="auto">
                          <a:xfrm>
                            <a:off x="0" y="0"/>
                            <a:ext cx="4620126" cy="9240252"/>
                          </a:xfrm>
                          <a:prstGeom prst="rect">
                            <a:avLst/>
                          </a:prstGeom>
                          <a:noFill/>
                          <a:ln w="9525">
                            <a:noFill/>
                            <a:headEnd/>
                            <a:tailEnd/>
                          </a:ln>
                        </pic:spPr>
                      </pic:pic>
                    </a:graphicData>
                  </a:graphic>
                </wp:inline>
              </w:drawing>
            </w:r>
            <w:bookmarkEnd w:id="173"/>
          </w:p>
          <w:bookmarkEnd w:id="174"/>
        </w:tc>
      </w:tr>
    </w:tbl>
    <w:bookmarkEnd w:id="175"/>
    <w:bookmarkStart w:id="181" w:name="X24c737da7e24b14633fee24ad0f9be046aa4214"/>
    <w:p>
      <w:pPr>
        <w:pStyle w:val="Titre3"/>
      </w:pPr>
      <w:r>
        <w:t xml:space="preserve">3.2.3 Materiel de communication audiovisuelle et telecommunication</w:t>
      </w:r>
    </w:p>
    <w:p>
      <w:pPr>
        <w:pStyle w:val="FirstParagraph"/>
      </w:pPr>
      <w:r>
        <w:t xml:space="preserve">L’accès aux technologies de communication et d’information constitue un vecteur de connexion aux marchés, aux services et à l’information. La pénétration du téléphone mobile a transformé les pratiques économiques et sociales en milieu rural.</w:t>
      </w:r>
    </w:p>
    <w:tbl>
      <w:tblPr>
        <w:tblStyle w:val="Table"/>
        <w:tblW w:type="pct" w:w="5000"/>
        <w:tblLayout w:type="fixed"/>
        <w:tblLook w:firstRow="0" w:lastRow="0" w:firstColumn="0" w:lastColumn="0" w:noHBand="0" w:noVBand="0" w:val="0000"/>
      </w:tblPr>
      <w:tblGrid>
        <w:gridCol w:w="7920"/>
      </w:tblGrid>
      <w:tr>
        <w:tc>
          <w:tcPr/>
          <w:bookmarkStart w:id="180" w:name="fig-comm"/>
          <w:p>
            <w:pPr>
              <w:jc w:val="center"/>
            </w:pPr>
            <w:pPr>
              <w:jc w:val="left"/>
              <w:spacing w:before="200"/>
              <w:pStyle w:val="ImageCaption"/>
            </w:pPr>
            <w:r>
              <w:t xml:space="preserve">Figure 3.4</w:t>
            </w:r>
          </w:p>
          <w:p>
            <w:pPr>
              <w:pStyle w:val="Compact"/>
              <w:jc w:val="center"/>
            </w:pPr>
            <w:bookmarkStart w:id="179" w:name="fig-comm"/>
            <w:r>
              <w:drawing>
                <wp:inline>
                  <wp:extent cx="4620126" cy="8499107"/>
                  <wp:effectExtent b="0" l="0" r="0" t="0"/>
                  <wp:docPr descr="" title="" id="177" name="Picture"/>
                  <a:graphic>
                    <a:graphicData uri="http://schemas.openxmlformats.org/drawingml/2006/picture">
                      <pic:pic>
                        <pic:nvPicPr>
                          <pic:cNvPr descr="03_habitat_niveau_de_vie_files/figure-docx/fig-comm-1.png" id="178" name="Picture"/>
                          <pic:cNvPicPr>
                            <a:picLocks noChangeArrowheads="1" noChangeAspect="1"/>
                          </pic:cNvPicPr>
                        </pic:nvPicPr>
                        <pic:blipFill>
                          <a:blip r:embed="rId176"/>
                          <a:stretch>
                            <a:fillRect/>
                          </a:stretch>
                        </pic:blipFill>
                        <pic:spPr bwMode="auto">
                          <a:xfrm>
                            <a:off x="0" y="0"/>
                            <a:ext cx="4620126" cy="8499107"/>
                          </a:xfrm>
                          <a:prstGeom prst="rect">
                            <a:avLst/>
                          </a:prstGeom>
                          <a:noFill/>
                          <a:ln w="9525">
                            <a:noFill/>
                            <a:headEnd/>
                            <a:tailEnd/>
                          </a:ln>
                        </pic:spPr>
                      </pic:pic>
                    </a:graphicData>
                  </a:graphic>
                </wp:inline>
              </w:drawing>
            </w:r>
            <w:bookmarkEnd w:id="179"/>
          </w:p>
          <w:bookmarkEnd w:id="180"/>
        </w:tc>
      </w:tr>
    </w:tbl>
    <w:bookmarkEnd w:id="181"/>
    <w:bookmarkEnd w:id="182"/>
    <w:bookmarkStart w:id="192" w:name="transferts-sortants"/>
    <w:p>
      <w:pPr>
        <w:pStyle w:val="Titre2"/>
      </w:pPr>
      <w:r>
        <w:t xml:space="preserve">3.3 Transferts sortants</w:t>
      </w:r>
    </w:p>
    <w:p>
      <w:pPr>
        <w:pStyle w:val="FirstParagraph"/>
      </w:pPr>
      <w:r>
        <w:t xml:space="preserve">Le fichier</w:t>
      </w:r>
      <w:r>
        <w:t xml:space="preserve"> </w:t>
      </w:r>
      <w:r>
        <w:rPr>
          <w:rStyle w:val="VerbatimChar"/>
        </w:rPr>
        <w:t xml:space="preserve">res_t2</w:t>
      </w:r>
      <w:r>
        <w:t xml:space="preserve"> </w:t>
      </w:r>
      <w:r>
        <w:t xml:space="preserve">recense les transferts envoyes par les menages a des personnes exterieures au foyer. Chaque ligne correspond a un destinataire. Les variables cles sont le type de transfert (</w:t>
      </w:r>
      <w:r>
        <w:rPr>
          <w:rStyle w:val="VerbatimChar"/>
        </w:rPr>
        <w:t xml:space="preserve">t21a</w:t>
      </w:r>
      <w:r>
        <w:t xml:space="preserve">), le lieu de residence du destinataire (</w:t>
      </w:r>
      <w:r>
        <w:rPr>
          <w:rStyle w:val="VerbatimChar"/>
        </w:rPr>
        <w:t xml:space="preserve">t41</w:t>
      </w:r>
      <w:r>
        <w:t xml:space="preserve">), le poids de riz envoye (</w:t>
      </w:r>
      <w:r>
        <w:rPr>
          <w:rStyle w:val="VerbatimChar"/>
        </w:rPr>
        <w:t xml:space="preserve">t42</w:t>
      </w:r>
      <w:r>
        <w:t xml:space="preserve">, en kg) et la valeur totale (</w:t>
      </w:r>
      <w:r>
        <w:rPr>
          <w:rStyle w:val="VerbatimChar"/>
        </w:rPr>
        <w:t xml:space="preserve">t21d</w:t>
      </w:r>
      <w:r>
        <w:t xml:space="preserve">, en Ar).</w:t>
      </w:r>
    </w:p>
    <w:tbl>
      <w:tblPr>
        <w:tblStyle w:val="Table"/>
        <w:tblW w:type="pct" w:w="5000"/>
        <w:tblLayout w:type="fixed"/>
        <w:tblLook w:firstRow="0" w:lastRow="0" w:firstColumn="0" w:lastColumn="0" w:noHBand="0" w:noVBand="0" w:val="0000"/>
      </w:tblPr>
      <w:tblGrid>
        <w:gridCol w:w="7920"/>
      </w:tblGrid>
      <w:tr>
        <w:tc>
          <w:tcPr/>
          <w:bookmarkStart w:id="186" w:name="fig-transferts-sortants"/>
          <w:p>
            <w:pPr>
              <w:jc w:val="center"/>
            </w:pPr>
            <w:pPr>
              <w:jc w:val="left"/>
              <w:spacing w:before="200"/>
              <w:pStyle w:val="ImageCaption"/>
            </w:pPr>
            <w:r>
              <w:t xml:space="preserve">Figure 3.5: Valeur moyenne des transferts sortants par observatoire et type</w:t>
            </w:r>
          </w:p>
          <w:p>
            <w:pPr>
              <w:pStyle w:val="Compact"/>
              <w:jc w:val="center"/>
            </w:pPr>
            <w:r>
              <w:drawing>
                <wp:inline>
                  <wp:extent cx="5969000" cy="3102636"/>
                  <wp:effectExtent b="0" l="0" r="0" t="0"/>
                  <wp:docPr descr="" title="" id="184" name="Picture"/>
                  <a:graphic>
                    <a:graphicData uri="http://schemas.openxmlformats.org/drawingml/2006/picture">
                      <pic:pic>
                        <pic:nvPicPr>
                          <pic:cNvPr descr="03_habitat_niveau_de_vie_files/figure-docx/fig-transferts-sortants-1.png" id="185" name="Picture"/>
                          <pic:cNvPicPr>
                            <a:picLocks noChangeArrowheads="1" noChangeAspect="1"/>
                          </pic:cNvPicPr>
                        </pic:nvPicPr>
                        <pic:blipFill>
                          <a:blip r:embed="rId183"/>
                          <a:stretch>
                            <a:fillRect/>
                          </a:stretch>
                        </pic:blipFill>
                        <pic:spPr bwMode="auto">
                          <a:xfrm>
                            <a:off x="0" y="0"/>
                            <a:ext cx="5969000" cy="3102636"/>
                          </a:xfrm>
                          <a:prstGeom prst="rect">
                            <a:avLst/>
                          </a:prstGeom>
                          <a:noFill/>
                          <a:ln w="9525">
                            <a:noFill/>
                            <a:headEnd/>
                            <a:tailEnd/>
                          </a:ln>
                        </pic:spPr>
                      </pic:pic>
                    </a:graphicData>
                  </a:graphic>
                </wp:inline>
              </w:drawing>
            </w:r>
          </w:p>
          <w:bookmarkEnd w:id="186"/>
        </w:tc>
      </w:tr>
    </w:tbl>
    <w:tbl>
      <w:tblPr>
        <w:tblStyle w:val="Table"/>
        <w:tblW w:type="pct" w:w="5000"/>
        <w:tblLayout w:type="fixed"/>
        <w:tblLook w:firstRow="0" w:lastRow="0" w:firstColumn="0" w:lastColumn="0" w:noHBand="0" w:noVBand="0" w:val="0000"/>
      </w:tblPr>
      <w:tblGrid>
        <w:gridCol w:w="7920"/>
      </w:tblGrid>
      <w:tr>
        <w:tc>
          <w:tcPr/>
          <w:bookmarkStart w:id="187" w:name="tbl-transferts-sortants"/>
          <w:p>
            <w:pPr>
              <w:jc w:val="center"/>
            </w:pPr>
            <w:pPr>
              <w:jc w:val="left"/>
              <w:spacing w:before="200"/>
              <w:pStyle w:val="ImageCaption"/>
            </w:pPr>
            <w:r>
              <w:t xml:space="preserve">Table 3.1: Transferts sortants : resume par observatoire</w:t>
            </w:r>
          </w:p>
          <w:bookmarkEnd w:id="187"/>
        </w:tc>
      </w:tr>
    </w:tbl>
    <w:tbl>
      <w:tblPr>
        <w:tblStyle w:val="Table"/>
        <w:tblW w:type="pct" w:w="5000"/>
        <w:tblLayout w:type="fixed"/>
        <w:tblLook w:firstRow="0" w:lastRow="0" w:firstColumn="0" w:lastColumn="0" w:noHBand="0" w:noVBand="0" w:val="0000"/>
      </w:tblPr>
      <w:tblGrid>
        <w:gridCol w:w="7920"/>
      </w:tblGrid>
      <w:tr>
        <w:tc>
          <w:tcPr/>
          <w:bookmarkStart w:id="191" w:name="fig-destination-transferts"/>
          <w:p>
            <w:pPr>
              <w:jc w:val="center"/>
            </w:pPr>
            <w:pPr>
              <w:jc w:val="left"/>
              <w:spacing w:before="200"/>
              <w:pStyle w:val="ImageCaption"/>
            </w:pPr>
            <w:r>
              <w:t xml:space="preserve">Figure 3.6: Lieu de residence des destinataires de transferts</w:t>
            </w:r>
          </w:p>
          <w:p>
            <w:pPr>
              <w:pStyle w:val="Compact"/>
              <w:jc w:val="center"/>
            </w:pPr>
            <w:r>
              <w:drawing>
                <wp:inline>
                  <wp:extent cx="5969000" cy="5236692"/>
                  <wp:effectExtent b="0" l="0" r="0" t="0"/>
                  <wp:docPr descr="" title="" id="189" name="Picture"/>
                  <a:graphic>
                    <a:graphicData uri="http://schemas.openxmlformats.org/drawingml/2006/picture">
                      <pic:pic>
                        <pic:nvPicPr>
                          <pic:cNvPr descr="03_habitat_niveau_de_vie_files/figure-docx/fig-destination-transferts-1.png" id="190" name="Picture"/>
                          <pic:cNvPicPr>
                            <a:picLocks noChangeArrowheads="1" noChangeAspect="1"/>
                          </pic:cNvPicPr>
                        </pic:nvPicPr>
                        <pic:blipFill>
                          <a:blip r:embed="rId188"/>
                          <a:stretch>
                            <a:fillRect/>
                          </a:stretch>
                        </pic:blipFill>
                        <pic:spPr bwMode="auto">
                          <a:xfrm>
                            <a:off x="0" y="0"/>
                            <a:ext cx="5969000" cy="5236692"/>
                          </a:xfrm>
                          <a:prstGeom prst="rect">
                            <a:avLst/>
                          </a:prstGeom>
                          <a:noFill/>
                          <a:ln w="9525">
                            <a:noFill/>
                            <a:headEnd/>
                            <a:tailEnd/>
                          </a:ln>
                        </pic:spPr>
                      </pic:pic>
                    </a:graphicData>
                  </a:graphic>
                </wp:inline>
              </w:drawing>
            </w:r>
          </w:p>
          <w:bookmarkEnd w:id="191"/>
        </w:tc>
      </w:tr>
    </w:tbl>
    <w:bookmarkEnd w:id="192"/>
    <w:bookmarkEnd w:id="193"/>
    <w:bookmarkStart w:id="280" w:name="foncier"/>
    <w:p>
      <w:pPr>
        <w:pStyle w:val="Titre1"/>
      </w:pPr>
      <w:r>
        <w:t xml:space="preserve">4. Foncier</w:t>
      </w:r>
    </w:p>
    <w:p>
      <w:pPr>
        <w:pStyle w:val="FirstParagraph"/>
      </w:pPr>
      <w:r>
        <w:t xml:space="preserve">Ce chapitre analyse la situation foncière des ménages des observatoires d’Alaotra et de Marovoay : patrimoine foncier possédé, parcelles exploitées sans en être propriétaire, cessions à des tiers, sécurisation foncière, et satisfaction des ménages par rapport à leur dotation en terre.</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194" name="Picture"/>
                  <a:graphic>
                    <a:graphicData uri="http://schemas.openxmlformats.org/drawingml/2006/picture">
                      <pic:pic>
                        <pic:nvPicPr>
                          <pic:cNvPr descr="C:\Users\fbede\AppData\Local\Programs\Quarto\share\formats\docx\warning.png" id="195"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230" w:name="sec-patrimoine"/>
    <w:p>
      <w:pPr>
        <w:pStyle w:val="Titre2"/>
      </w:pPr>
      <w:r>
        <w:t xml:space="preserve">4.1 Patrimoine foncier</w:t>
      </w:r>
    </w:p>
    <w:bookmarkStart w:id="201" w:name="nombre-de-parcelles-possédées"/>
    <w:p>
      <w:pPr>
        <w:pStyle w:val="Titre3"/>
      </w:pPr>
      <w:r>
        <w:t xml:space="preserve">4.1.1 Nombre de parcelles possédées</w:t>
      </w:r>
    </w:p>
    <w:p>
      <w:pPr>
        <w:pStyle w:val="FirstParagraph"/>
      </w:pPr>
      <w:r>
        <w:rPr>
          <w:b/>
          <w:bCs/>
        </w:rPr>
        <w:t xml:space="preserve">Marovoay.</w:t>
      </w:r>
      <w:r>
        <w:t xml:space="preserve"> </w:t>
      </w:r>
      <w:r>
        <w:t xml:space="preserve">Sur les 519 ménages enquêtés, 253 (48.7 %) ne possèdent aucune parcelle. La très grande majorité des ménages (51.3 %) sont donc propriétaires d’au moins une parcelle (</w:t>
      </w:r>
      <w:hyperlink w:anchor="fig-nb-parcelles">
        <w:r>
          <w:rPr>
            <w:rStyle w:val="Lienhypertexte"/>
          </w:rPr>
          <w:t xml:space="preserve">Figure 4.1</w:t>
        </w:r>
      </w:hyperlink>
      <w:r>
        <w:t xml:space="preserve">). Les ménages propriétaires possèdent en moyenne 2 parcelles.</w:t>
      </w:r>
    </w:p>
    <w:tbl>
      <w:tblPr>
        <w:tblStyle w:val="Table"/>
        <w:tblW w:type="pct" w:w="5000"/>
        <w:tblLayout w:type="fixed"/>
        <w:tblLook w:firstRow="0" w:lastRow="0" w:firstColumn="0" w:lastColumn="0" w:noHBand="0" w:noVBand="0" w:val="0000"/>
      </w:tblPr>
      <w:tblGrid>
        <w:gridCol w:w="7920"/>
      </w:tblGrid>
      <w:tr>
        <w:tc>
          <w:tcPr/>
          <w:bookmarkStart w:id="199" w:name="fig-nb-parcelles"/>
          <w:p>
            <w:pPr>
              <w:jc w:val="center"/>
            </w:pPr>
            <w:pPr>
              <w:jc w:val="left"/>
              <w:spacing w:before="200"/>
              <w:pStyle w:val="ImageCaption"/>
            </w:pPr>
            <w:r>
              <w:t xml:space="preserve">Figure 4.1: Distribution du nombre de parcelles possédées par ménage</w:t>
            </w:r>
          </w:p>
          <w:p>
            <w:pPr>
              <w:pStyle w:val="Compact"/>
              <w:jc w:val="center"/>
            </w:pPr>
            <w:r>
              <w:drawing>
                <wp:inline>
                  <wp:extent cx="5969000" cy="3730624"/>
                  <wp:effectExtent b="0" l="0" r="0" t="0"/>
                  <wp:docPr descr="" title="" id="197" name="Picture"/>
                  <a:graphic>
                    <a:graphicData uri="http://schemas.openxmlformats.org/drawingml/2006/picture">
                      <pic:pic>
                        <pic:nvPicPr>
                          <pic:cNvPr descr="04_foncier_files/figure-docx/fig-nb-parcelles-1.png" id="198" name="Picture"/>
                          <pic:cNvPicPr>
                            <a:picLocks noChangeArrowheads="1" noChangeAspect="1"/>
                          </pic:cNvPicPr>
                        </pic:nvPicPr>
                        <pic:blipFill>
                          <a:blip r:embed="rId196"/>
                          <a:stretch>
                            <a:fillRect/>
                          </a:stretch>
                        </pic:blipFill>
                        <pic:spPr bwMode="auto">
                          <a:xfrm>
                            <a:off x="0" y="0"/>
                            <a:ext cx="5969000" cy="3730624"/>
                          </a:xfrm>
                          <a:prstGeom prst="rect">
                            <a:avLst/>
                          </a:prstGeom>
                          <a:noFill/>
                          <a:ln w="9525">
                            <a:noFill/>
                            <a:headEnd/>
                            <a:tailEnd/>
                          </a:ln>
                        </pic:spPr>
                      </pic:pic>
                    </a:graphicData>
                  </a:graphic>
                </wp:inline>
              </w:drawing>
            </w:r>
          </w:p>
          <w:bookmarkEnd w:id="199"/>
        </w:tc>
      </w:tr>
    </w:tbl>
    <w:tbl>
      <w:tblPr>
        <w:tblStyle w:val="Table"/>
        <w:tblW w:type="pct" w:w="5000"/>
        <w:tblLayout w:type="fixed"/>
        <w:tblLook w:firstRow="0" w:lastRow="0" w:firstColumn="0" w:lastColumn="0" w:noHBand="0" w:noVBand="0" w:val="0000"/>
      </w:tblPr>
      <w:tblGrid>
        <w:gridCol w:w="7920"/>
      </w:tblGrid>
      <w:tr>
        <w:tc>
          <w:tcPr/>
          <w:bookmarkStart w:id="200" w:name="tbl-parcelles-stats"/>
          <w:p>
            <w:pPr>
              <w:jc w:val="center"/>
            </w:pPr>
            <w:pPr>
              <w:jc w:val="left"/>
              <w:spacing w:before="200"/>
              <w:pStyle w:val="ImageCaption"/>
            </w:pPr>
            <w:r>
              <w:t xml:space="preserve">Table 4.1: Statistiques sur le patrimoine foncier possédé</w:t>
            </w:r>
          </w:p>
          <w:bookmarkEnd w:id="200"/>
        </w:tc>
      </w:tr>
    </w:tbl>
    <w:p>
      <w:pPr>
        <w:pStyle w:val="Corpsdetexte"/>
      </w:pPr>
      <w:r>
        <w:t xml:space="preserve">Le</w:t>
      </w:r>
      <w:r>
        <w:t xml:space="preserve"> </w:t>
      </w:r>
      <w:hyperlink w:anchor="tbl-parcelles-stats">
        <w:r>
          <w:rPr>
            <w:rStyle w:val="Lienhypertexte"/>
          </w:rPr>
          <w:t xml:space="preserve">Table 4.1</w:t>
        </w:r>
      </w:hyperlink>
      <w:r>
        <w:t xml:space="preserve"> </w:t>
      </w:r>
      <w:r>
        <w:t xml:space="preserve">résume les principales caractéristiques du patrimoine foncier possédé.</w:t>
      </w:r>
    </w:p>
    <w:p>
      <w:pPr>
        <w:pStyle w:val="Corpsdetexte"/>
      </w:pPr>
      <w:r>
        <w:rPr>
          <w:b/>
          <w:bCs/>
        </w:rPr>
        <w:t xml:space="preserve">Marovoay.</w:t>
      </w:r>
      <w:r>
        <w:t xml:space="preserve"> </w:t>
      </w:r>
      <w:r>
        <w:t xml:space="preserve">La superficie moyenne par parcelle est de 78.9 ares, et la surface totale possédée par ménage atteint en moyenne 163.2 ares.</w:t>
      </w:r>
    </w:p>
    <w:bookmarkEnd w:id="201"/>
    <w:bookmarkStart w:id="210" w:name="Xb3a5d9a9af71174c0c59d5650fdd434d6154eab"/>
    <w:p>
      <w:pPr>
        <w:pStyle w:val="Titre3"/>
      </w:pPr>
      <w:r>
        <w:t xml:space="preserve">4.1.2 Type et localisation des parcelles possédées</w:t>
      </w:r>
    </w:p>
    <w:p>
      <w:pPr>
        <w:pStyle w:val="FirstParagraph"/>
      </w:pPr>
      <w:r>
        <w:t xml:space="preserve">Le patrimoine foncier des ménages se compose principalement de rizières et de champs de cultures pluviales (</w:t>
      </w:r>
      <w:hyperlink w:anchor="fig-type-parcelle">
        <w:r>
          <w:rPr>
            <w:rStyle w:val="Lienhypertexte"/>
          </w:rPr>
          <w:t xml:space="preserve">Figure 4.2</w:t>
        </w:r>
      </w:hyperlink>
      <w:r>
        <w:t xml:space="preserve">).</w:t>
      </w:r>
    </w:p>
    <w:p>
      <w:pPr>
        <w:pStyle w:val="Corpsdetexte"/>
      </w:pPr>
      <w:r>
        <w:rPr>
          <w:b/>
          <w:bCs/>
        </w:rPr>
        <w:t xml:space="preserve">Marovoay.</w:t>
      </w:r>
      <w:r>
        <w:t xml:space="preserve"> </w:t>
      </w:r>
      <w:r>
        <w:t xml:space="preserve">Les rizières représentent 73.9 % des parcelles possédées et les champs 25.6 %.</w:t>
      </w:r>
    </w:p>
    <w:tbl>
      <w:tblPr>
        <w:tblStyle w:val="Table"/>
        <w:tblW w:type="pct" w:w="5000"/>
        <w:tblLayout w:type="fixed"/>
        <w:tblLook w:firstRow="0" w:lastRow="0" w:firstColumn="0" w:lastColumn="0" w:noHBand="0" w:noVBand="0" w:val="0000"/>
      </w:tblPr>
      <w:tblGrid>
        <w:gridCol w:w="7920"/>
      </w:tblGrid>
      <w:tr>
        <w:tc>
          <w:tcPr/>
          <w:bookmarkStart w:id="205" w:name="fig-type-parcelle"/>
          <w:p>
            <w:pPr>
              <w:jc w:val="center"/>
            </w:pPr>
            <w:pPr>
              <w:jc w:val="left"/>
              <w:spacing w:before="200"/>
              <w:pStyle w:val="ImageCaption"/>
            </w:pPr>
            <w:r>
              <w:t xml:space="preserve">Figure 4.2: Type des parcelles possédées</w:t>
            </w:r>
          </w:p>
          <w:p>
            <w:pPr>
              <w:pStyle w:val="Compact"/>
              <w:jc w:val="center"/>
            </w:pPr>
            <w:r>
              <w:drawing>
                <wp:inline>
                  <wp:extent cx="5969000" cy="6100262"/>
                  <wp:effectExtent b="0" l="0" r="0" t="0"/>
                  <wp:docPr descr="" title="" id="203" name="Picture"/>
                  <a:graphic>
                    <a:graphicData uri="http://schemas.openxmlformats.org/drawingml/2006/picture">
                      <pic:pic>
                        <pic:nvPicPr>
                          <pic:cNvPr descr="04_foncier_files/figure-docx/fig-type-parcelle-1.png" id="204" name="Picture"/>
                          <pic:cNvPicPr>
                            <a:picLocks noChangeArrowheads="1" noChangeAspect="1"/>
                          </pic:cNvPicPr>
                        </pic:nvPicPr>
                        <pic:blipFill>
                          <a:blip r:embed="rId202"/>
                          <a:stretch>
                            <a:fillRect/>
                          </a:stretch>
                        </pic:blipFill>
                        <pic:spPr bwMode="auto">
                          <a:xfrm>
                            <a:off x="0" y="0"/>
                            <a:ext cx="5969000" cy="6100262"/>
                          </a:xfrm>
                          <a:prstGeom prst="rect">
                            <a:avLst/>
                          </a:prstGeom>
                          <a:noFill/>
                          <a:ln w="9525">
                            <a:noFill/>
                            <a:headEnd/>
                            <a:tailEnd/>
                          </a:ln>
                        </pic:spPr>
                      </pic:pic>
                    </a:graphicData>
                  </a:graphic>
                </wp:inline>
              </w:drawing>
            </w:r>
          </w:p>
          <w:bookmarkEnd w:id="205"/>
        </w:tc>
      </w:tr>
    </w:tbl>
    <w:p>
      <w:pPr>
        <w:pStyle w:val="Corpsdetexte"/>
      </w:pPr>
      <w:r>
        <w:t xml:space="preserve">La localisation des parcelles reflète les spécificités agro-écologiques de chaque site (</w:t>
      </w:r>
      <w:hyperlink w:anchor="fig-localisation-parcelle">
        <w:r>
          <w:rPr>
            <w:rStyle w:val="Lienhypertexte"/>
          </w:rPr>
          <w:t xml:space="preserve">Figure 4.3</w:t>
        </w:r>
      </w:hyperlink>
      <w:r>
        <w:t xml:space="preserve">).</w:t>
      </w:r>
    </w:p>
    <w:p>
      <w:pPr>
        <w:pStyle w:val="Corpsdetexte"/>
      </w:pPr>
      <w:r>
        <w:rPr>
          <w:b/>
          <w:bCs/>
        </w:rPr>
        <w:t xml:space="preserve">Marovoay.</w:t>
      </w:r>
      <w:r>
        <w:t xml:space="preserve"> </w:t>
      </w:r>
      <w:r>
        <w:t xml:space="preserve">La localisation la plus fréquente est la plaine (67.3 %).</w:t>
      </w:r>
    </w:p>
    <w:tbl>
      <w:tblPr>
        <w:tblStyle w:val="Table"/>
        <w:tblW w:type="pct" w:w="5000"/>
        <w:tblLayout w:type="fixed"/>
        <w:tblLook w:firstRow="0" w:lastRow="0" w:firstColumn="0" w:lastColumn="0" w:noHBand="0" w:noVBand="0" w:val="0000"/>
      </w:tblPr>
      <w:tblGrid>
        <w:gridCol w:w="7920"/>
      </w:tblGrid>
      <w:tr>
        <w:tc>
          <w:tcPr/>
          <w:bookmarkStart w:id="209" w:name="fig-localisation-parcelle"/>
          <w:p>
            <w:pPr>
              <w:jc w:val="center"/>
            </w:pPr>
            <w:pPr>
              <w:jc w:val="left"/>
              <w:spacing w:before="200"/>
              <w:pStyle w:val="ImageCaption"/>
            </w:pPr>
            <w:r>
              <w:t xml:space="preserve">Figure 4.3: Localisation des parcelles possédées</w:t>
            </w:r>
          </w:p>
          <w:p>
            <w:pPr>
              <w:pStyle w:val="Compact"/>
              <w:jc w:val="center"/>
            </w:pPr>
            <w:r>
              <w:drawing>
                <wp:inline>
                  <wp:extent cx="5969000" cy="6100262"/>
                  <wp:effectExtent b="0" l="0" r="0" t="0"/>
                  <wp:docPr descr="" title="" id="207" name="Picture"/>
                  <a:graphic>
                    <a:graphicData uri="http://schemas.openxmlformats.org/drawingml/2006/picture">
                      <pic:pic>
                        <pic:nvPicPr>
                          <pic:cNvPr descr="04_foncier_files/figure-docx/fig-localisation-parcelle-1.png" id="208" name="Picture"/>
                          <pic:cNvPicPr>
                            <a:picLocks noChangeArrowheads="1" noChangeAspect="1"/>
                          </pic:cNvPicPr>
                        </pic:nvPicPr>
                        <pic:blipFill>
                          <a:blip r:embed="rId206"/>
                          <a:stretch>
                            <a:fillRect/>
                          </a:stretch>
                        </pic:blipFill>
                        <pic:spPr bwMode="auto">
                          <a:xfrm>
                            <a:off x="0" y="0"/>
                            <a:ext cx="5969000" cy="6100262"/>
                          </a:xfrm>
                          <a:prstGeom prst="rect">
                            <a:avLst/>
                          </a:prstGeom>
                          <a:noFill/>
                          <a:ln w="9525">
                            <a:noFill/>
                            <a:headEnd/>
                            <a:tailEnd/>
                          </a:ln>
                        </pic:spPr>
                      </pic:pic>
                    </a:graphicData>
                  </a:graphic>
                </wp:inline>
              </w:drawing>
            </w:r>
          </w:p>
          <w:bookmarkEnd w:id="209"/>
        </w:tc>
      </w:tr>
    </w:tbl>
    <w:bookmarkEnd w:id="210"/>
    <w:bookmarkStart w:id="215" w:name="irrigation-des-parcelles-possédées"/>
    <w:p>
      <w:pPr>
        <w:pStyle w:val="Titre3"/>
      </w:pPr>
      <w:r>
        <w:t xml:space="preserve">4.1.3 Irrigation des parcelles possédées</w:t>
      </w:r>
    </w:p>
    <w:p>
      <w:pPr>
        <w:pStyle w:val="FirstParagraph"/>
      </w:pPr>
      <w:r>
        <w:t xml:space="preserve">L’accès à l’irrigation est un facteur déterminant de la productivité rizicole. La</w:t>
      </w:r>
      <w:r>
        <w:t xml:space="preserve"> </w:t>
      </w:r>
      <w:hyperlink w:anchor="fig-irrigation-possedee">
        <w:r>
          <w:rPr>
            <w:rStyle w:val="Lienhypertexte"/>
          </w:rPr>
          <w:t xml:space="preserve">Figure 4.4</w:t>
        </w:r>
      </w:hyperlink>
      <w:r>
        <w:t xml:space="preserve"> </w:t>
      </w:r>
      <w:r>
        <w:t xml:space="preserve">présente les modes d’irrigation des parcelles possédées par les ménages dans les deux observatoires. Les différences entre Alaotra et Marovoay reflètent les investissements hydrauliques historiques de chaque périmètre.</w:t>
      </w:r>
    </w:p>
    <w:tbl>
      <w:tblPr>
        <w:tblStyle w:val="Table"/>
        <w:tblW w:type="pct" w:w="5000"/>
        <w:tblLayout w:type="fixed"/>
        <w:tblLook w:firstRow="0" w:lastRow="0" w:firstColumn="0" w:lastColumn="0" w:noHBand="0" w:noVBand="0" w:val="0000"/>
      </w:tblPr>
      <w:tblGrid>
        <w:gridCol w:w="7920"/>
      </w:tblGrid>
      <w:tr>
        <w:tc>
          <w:tcPr/>
          <w:bookmarkStart w:id="214" w:name="fig-irrigation-possedee"/>
          <w:p>
            <w:pPr>
              <w:jc w:val="center"/>
            </w:pPr>
            <w:pPr>
              <w:jc w:val="left"/>
              <w:spacing w:before="200"/>
              <w:pStyle w:val="ImageCaption"/>
            </w:pPr>
            <w:r>
              <w:t xml:space="preserve">Figure 4.4: Mode d’irrigation des parcelles possédées</w:t>
            </w:r>
          </w:p>
          <w:p>
            <w:pPr>
              <w:pStyle w:val="Compact"/>
              <w:jc w:val="center"/>
            </w:pPr>
            <w:r>
              <w:drawing>
                <wp:inline>
                  <wp:extent cx="5969000" cy="5490236"/>
                  <wp:effectExtent b="0" l="0" r="0" t="0"/>
                  <wp:docPr descr="" title="" id="212" name="Picture"/>
                  <a:graphic>
                    <a:graphicData uri="http://schemas.openxmlformats.org/drawingml/2006/picture">
                      <pic:pic>
                        <pic:nvPicPr>
                          <pic:cNvPr descr="04_foncier_files/figure-docx/fig-irrigation-possedee-1.png" id="213" name="Picture"/>
                          <pic:cNvPicPr>
                            <a:picLocks noChangeArrowheads="1" noChangeAspect="1"/>
                          </pic:cNvPicPr>
                        </pic:nvPicPr>
                        <pic:blipFill>
                          <a:blip r:embed="rId211"/>
                          <a:stretch>
                            <a:fillRect/>
                          </a:stretch>
                        </pic:blipFill>
                        <pic:spPr bwMode="auto">
                          <a:xfrm>
                            <a:off x="0" y="0"/>
                            <a:ext cx="5969000" cy="5490236"/>
                          </a:xfrm>
                          <a:prstGeom prst="rect">
                            <a:avLst/>
                          </a:prstGeom>
                          <a:noFill/>
                          <a:ln w="9525">
                            <a:noFill/>
                            <a:headEnd/>
                            <a:tailEnd/>
                          </a:ln>
                        </pic:spPr>
                      </pic:pic>
                    </a:graphicData>
                  </a:graphic>
                </wp:inline>
              </w:drawing>
            </w:r>
          </w:p>
          <w:bookmarkEnd w:id="214"/>
        </w:tc>
      </w:tr>
    </w:tbl>
    <w:bookmarkEnd w:id="215"/>
    <w:bookmarkStart w:id="224" w:name="mode-dacquisition-et-ancienneté"/>
    <w:p>
      <w:pPr>
        <w:pStyle w:val="Titre3"/>
      </w:pPr>
      <w:r>
        <w:t xml:space="preserve">4.1.4 Mode d’acquisition et ancienneté</w:t>
      </w:r>
    </w:p>
    <w:p>
      <w:pPr>
        <w:pStyle w:val="FirstParagraph"/>
      </w:pPr>
      <w:r>
        <w:t xml:space="preserve">Le mode d’acquisition des parcelles renseigne sur la dynamique du marché foncier et le poids des transmissions familiales (</w:t>
      </w:r>
      <w:hyperlink w:anchor="fig-acquisition">
        <w:r>
          <w:rPr>
            <w:rStyle w:val="Lienhypertexte"/>
          </w:rPr>
          <w:t xml:space="preserve">Figure 4.5</w:t>
        </w:r>
      </w:hyperlink>
      <w:r>
        <w:t xml:space="preserve">). L’héritage domine largement dans les deux observatoires.</w:t>
      </w:r>
    </w:p>
    <w:p>
      <w:pPr>
        <w:pStyle w:val="Corpsdetexte"/>
      </w:pPr>
      <w:r>
        <w:rPr>
          <w:b/>
          <w:bCs/>
        </w:rPr>
        <w:t xml:space="preserve">Marovoay.</w:t>
      </w:r>
      <w:r>
        <w:t xml:space="preserve"> </w:t>
      </w:r>
      <w:r>
        <w:t xml:space="preserve">L’héritage concerne 59.4 % des parcelles, l’achat 39 % et la mise en valeur 0.2 %.</w:t>
      </w:r>
    </w:p>
    <w:tbl>
      <w:tblPr>
        <w:tblStyle w:val="Table"/>
        <w:tblW w:type="pct" w:w="5000"/>
        <w:tblLayout w:type="fixed"/>
        <w:tblLook w:firstRow="0" w:lastRow="0" w:firstColumn="0" w:lastColumn="0" w:noHBand="0" w:noVBand="0" w:val="0000"/>
      </w:tblPr>
      <w:tblGrid>
        <w:gridCol w:w="7920"/>
      </w:tblGrid>
      <w:tr>
        <w:tc>
          <w:tcPr/>
          <w:bookmarkStart w:id="219" w:name="fig-acquisition"/>
          <w:p>
            <w:pPr>
              <w:jc w:val="center"/>
            </w:pPr>
            <w:pPr>
              <w:jc w:val="left"/>
              <w:spacing w:before="200"/>
              <w:pStyle w:val="ImageCaption"/>
            </w:pPr>
            <w:r>
              <w:t xml:space="preserve">Figure 4.5: Mode d’acquisition des parcelles possédées</w:t>
            </w:r>
          </w:p>
          <w:p>
            <w:pPr>
              <w:pStyle w:val="Compact"/>
              <w:jc w:val="center"/>
            </w:pPr>
            <w:r>
              <w:drawing>
                <wp:inline>
                  <wp:extent cx="5969000" cy="5969000"/>
                  <wp:effectExtent b="0" l="0" r="0" t="0"/>
                  <wp:docPr descr="" title="" id="217" name="Picture"/>
                  <a:graphic>
                    <a:graphicData uri="http://schemas.openxmlformats.org/drawingml/2006/picture">
                      <pic:pic>
                        <pic:nvPicPr>
                          <pic:cNvPr descr="04_foncier_files/figure-docx/fig-acquisition-1.png" id="218" name="Picture"/>
                          <pic:cNvPicPr>
                            <a:picLocks noChangeArrowheads="1" noChangeAspect="1"/>
                          </pic:cNvPicPr>
                        </pic:nvPicPr>
                        <pic:blipFill>
                          <a:blip r:embed="rId216"/>
                          <a:stretch>
                            <a:fillRect/>
                          </a:stretch>
                        </pic:blipFill>
                        <pic:spPr bwMode="auto">
                          <a:xfrm>
                            <a:off x="0" y="0"/>
                            <a:ext cx="5969000" cy="5969000"/>
                          </a:xfrm>
                          <a:prstGeom prst="rect">
                            <a:avLst/>
                          </a:prstGeom>
                          <a:noFill/>
                          <a:ln w="9525">
                            <a:noFill/>
                            <a:headEnd/>
                            <a:tailEnd/>
                          </a:ln>
                        </pic:spPr>
                      </pic:pic>
                    </a:graphicData>
                  </a:graphic>
                </wp:inline>
              </w:drawing>
            </w:r>
          </w:p>
          <w:bookmarkEnd w:id="219"/>
        </w:tc>
      </w:tr>
    </w:tbl>
    <w:p>
      <w:pPr>
        <w:pStyle w:val="Corpsdetexte"/>
      </w:pPr>
      <w:r>
        <w:t xml:space="preserve">L’ancienneté de possession témoigne de l’enracinement des ménages sur leurs terres (</w:t>
      </w:r>
      <w:hyperlink w:anchor="fig-anciennete">
        <w:r>
          <w:rPr>
            <w:rStyle w:val="Lienhypertexte"/>
          </w:rPr>
          <w:t xml:space="preserve">Figure 4.6</w:t>
        </w:r>
      </w:hyperlink>
      <w:r>
        <w:t xml:space="preserve">). Une part importante des parcelles est détenue depuis plusieurs décennies, reflétant la continuité de l’occupation foncière dans les deux zones. Les acquisitions récentes (années 2010 et au-delà) sont toutefois observables, signe que le marché foncier reste actif.</w:t>
      </w:r>
    </w:p>
    <w:tbl>
      <w:tblPr>
        <w:tblStyle w:val="Table"/>
        <w:tblW w:type="pct" w:w="5000"/>
        <w:tblLayout w:type="fixed"/>
        <w:tblLook w:firstRow="0" w:lastRow="0" w:firstColumn="0" w:lastColumn="0" w:noHBand="0" w:noVBand="0" w:val="0000"/>
      </w:tblPr>
      <w:tblGrid>
        <w:gridCol w:w="7920"/>
      </w:tblGrid>
      <w:tr>
        <w:tc>
          <w:tcPr/>
          <w:bookmarkStart w:id="223" w:name="fig-anciennete"/>
          <w:p>
            <w:pPr>
              <w:jc w:val="center"/>
            </w:pPr>
            <w:pPr>
              <w:jc w:val="left"/>
              <w:spacing w:before="200"/>
              <w:pStyle w:val="ImageCaption"/>
            </w:pPr>
            <w:r>
              <w:t xml:space="preserve">Figure 4.6: Ancienneté de possession des parcelles</w:t>
            </w:r>
          </w:p>
          <w:p>
            <w:pPr>
              <w:pStyle w:val="Compact"/>
              <w:jc w:val="center"/>
            </w:pPr>
            <w:r>
              <w:drawing>
                <wp:inline>
                  <wp:extent cx="5969000" cy="3316111"/>
                  <wp:effectExtent b="0" l="0" r="0" t="0"/>
                  <wp:docPr descr="" title="" id="221" name="Picture"/>
                  <a:graphic>
                    <a:graphicData uri="http://schemas.openxmlformats.org/drawingml/2006/picture">
                      <pic:pic>
                        <pic:nvPicPr>
                          <pic:cNvPr descr="04_foncier_files/figure-docx/fig-anciennete-1.png" id="222" name="Picture"/>
                          <pic:cNvPicPr>
                            <a:picLocks noChangeArrowheads="1" noChangeAspect="1"/>
                          </pic:cNvPicPr>
                        </pic:nvPicPr>
                        <pic:blipFill>
                          <a:blip r:embed="rId220"/>
                          <a:stretch>
                            <a:fillRect/>
                          </a:stretch>
                        </pic:blipFill>
                        <pic:spPr bwMode="auto">
                          <a:xfrm>
                            <a:off x="0" y="0"/>
                            <a:ext cx="5969000" cy="3316111"/>
                          </a:xfrm>
                          <a:prstGeom prst="rect">
                            <a:avLst/>
                          </a:prstGeom>
                          <a:noFill/>
                          <a:ln w="9525">
                            <a:noFill/>
                            <a:headEnd/>
                            <a:tailEnd/>
                          </a:ln>
                        </pic:spPr>
                      </pic:pic>
                    </a:graphicData>
                  </a:graphic>
                </wp:inline>
              </w:drawing>
            </w:r>
          </w:p>
          <w:bookmarkEnd w:id="223"/>
        </w:tc>
      </w:tr>
    </w:tbl>
    <w:bookmarkEnd w:id="224"/>
    <w:bookmarkStart w:id="229" w:name="propriétaire-dans-le-ménage"/>
    <w:p>
      <w:pPr>
        <w:pStyle w:val="Titre3"/>
      </w:pPr>
      <w:r>
        <w:t xml:space="preserve">4.1.5 Propriétaire dans le ménage</w:t>
      </w:r>
    </w:p>
    <w:p>
      <w:pPr>
        <w:pStyle w:val="FirstParagraph"/>
      </w:pPr>
      <w:r>
        <w:t xml:space="preserve">La question de l’identité du propriétaire au sein du ménage soulève des enjeux de genre importants (</w:t>
      </w:r>
      <w:hyperlink w:anchor="fig-proprietaire">
        <w:r>
          <w:rPr>
            <w:rStyle w:val="Lienhypertexte"/>
          </w:rPr>
          <w:t xml:space="preserve">Figure 4.7</w:t>
        </w:r>
      </w:hyperlink>
      <w:r>
        <w:t xml:space="preserve">). Dans les deux observatoires, c’est le chef de ménage qui est déclaré propriétaire de la majorité des parcelles, ce qui illustre les inégalités d’accès au foncier.</w:t>
      </w:r>
    </w:p>
    <w:p>
      <w:pPr>
        <w:pStyle w:val="Corpsdetexte"/>
      </w:pPr>
      <w:r>
        <w:rPr>
          <w:b/>
          <w:bCs/>
        </w:rPr>
        <w:t xml:space="preserve">Marovoay.</w:t>
      </w:r>
      <w:r>
        <w:t xml:space="preserve"> </w:t>
      </w:r>
      <w:r>
        <w:t xml:space="preserve">Le chef de ménage est propriétaire de 76.3 % des parcelles ; le ou la conjoint(e) n’apparaît que dans 8.8 % des cas.</w:t>
      </w:r>
    </w:p>
    <w:tbl>
      <w:tblPr>
        <w:tblStyle w:val="Table"/>
        <w:tblW w:type="pct" w:w="5000"/>
        <w:tblLayout w:type="fixed"/>
        <w:tblLook w:firstRow="0" w:lastRow="0" w:firstColumn="0" w:lastColumn="0" w:noHBand="0" w:noVBand="0" w:val="0000"/>
      </w:tblPr>
      <w:tblGrid>
        <w:gridCol w:w="7920"/>
      </w:tblGrid>
      <w:tr>
        <w:tc>
          <w:tcPr/>
          <w:bookmarkStart w:id="228" w:name="fig-proprietaire"/>
          <w:p>
            <w:pPr>
              <w:jc w:val="center"/>
            </w:pPr>
            <w:pPr>
              <w:jc w:val="left"/>
              <w:spacing w:before="200"/>
              <w:pStyle w:val="ImageCaption"/>
            </w:pPr>
            <w:r>
              <w:t xml:space="preserve">Figure 4.7: Qui dans le ménage est propriétaire de la parcelle</w:t>
            </w:r>
          </w:p>
          <w:p>
            <w:pPr>
              <w:pStyle w:val="Compact"/>
              <w:jc w:val="center"/>
            </w:pPr>
            <w:r>
              <w:drawing>
                <wp:inline>
                  <wp:extent cx="5969000" cy="5969000"/>
                  <wp:effectExtent b="0" l="0" r="0" t="0"/>
                  <wp:docPr descr="" title="" id="226" name="Picture"/>
                  <a:graphic>
                    <a:graphicData uri="http://schemas.openxmlformats.org/drawingml/2006/picture">
                      <pic:pic>
                        <pic:nvPicPr>
                          <pic:cNvPr descr="04_foncier_files/figure-docx/fig-proprietaire-1.png" id="227" name="Picture"/>
                          <pic:cNvPicPr>
                            <a:picLocks noChangeArrowheads="1" noChangeAspect="1"/>
                          </pic:cNvPicPr>
                        </pic:nvPicPr>
                        <pic:blipFill>
                          <a:blip r:embed="rId225"/>
                          <a:stretch>
                            <a:fillRect/>
                          </a:stretch>
                        </pic:blipFill>
                        <pic:spPr bwMode="auto">
                          <a:xfrm>
                            <a:off x="0" y="0"/>
                            <a:ext cx="5969000" cy="5969000"/>
                          </a:xfrm>
                          <a:prstGeom prst="rect">
                            <a:avLst/>
                          </a:prstGeom>
                          <a:noFill/>
                          <a:ln w="9525">
                            <a:noFill/>
                            <a:headEnd/>
                            <a:tailEnd/>
                          </a:ln>
                        </pic:spPr>
                      </pic:pic>
                    </a:graphicData>
                  </a:graphic>
                </wp:inline>
              </w:drawing>
            </w:r>
          </w:p>
          <w:bookmarkEnd w:id="228"/>
        </w:tc>
      </w:tr>
    </w:tbl>
    <w:bookmarkEnd w:id="229"/>
    <w:bookmarkEnd w:id="230"/>
    <w:bookmarkStart w:id="239" w:name="sec-securisation"/>
    <w:p>
      <w:pPr>
        <w:pStyle w:val="Titre2"/>
      </w:pPr>
      <w:r>
        <w:t xml:space="preserve">4.2 Sécurisation foncière</w:t>
      </w:r>
    </w:p>
    <w:p>
      <w:pPr>
        <w:pStyle w:val="FirstParagraph"/>
      </w:pPr>
      <w:r>
        <w:t xml:space="preserve">La sécurisation foncière est un enjeu majeur à Madagascar. Les ménages peuvent détenir un titre foncier, un certificat foncier (délivré par le guichet foncier communal), ou divers documents informels. Les résultats de l’enquête révèlent un niveau de sécurisation formelle encore très faible (</w:t>
      </w:r>
      <w:hyperlink w:anchor="fig-securisation">
        <w:r>
          <w:rPr>
            <w:rStyle w:val="Lienhypertexte"/>
          </w:rPr>
          <w:t xml:space="preserve">Figure 4.8</w:t>
        </w:r>
      </w:hyperlink>
      <w:r>
        <w:t xml:space="preserve">).</w:t>
      </w:r>
    </w:p>
    <w:p>
      <w:pPr>
        <w:pStyle w:val="Corpsdetexte"/>
      </w:pPr>
      <w:r>
        <w:rPr>
          <w:b/>
          <w:bCs/>
        </w:rPr>
        <w:t xml:space="preserve">Marovoay.</w:t>
      </w:r>
      <w:r>
        <w:t xml:space="preserve"> </w:t>
      </w:r>
      <w:r>
        <w:t xml:space="preserve">Seules 21.5 % des parcelles disposent d’un titre foncier. Les certificats fonciers ne couvrent que 28.3 % des parcelles.</w:t>
      </w:r>
    </w:p>
    <w:tbl>
      <w:tblPr>
        <w:tblStyle w:val="Table"/>
        <w:tblW w:type="pct" w:w="5000"/>
        <w:tblLayout w:type="fixed"/>
        <w:tblLook w:firstRow="0" w:lastRow="0" w:firstColumn="0" w:lastColumn="0" w:noHBand="0" w:noVBand="0" w:val="0000"/>
      </w:tblPr>
      <w:tblGrid>
        <w:gridCol w:w="7920"/>
      </w:tblGrid>
      <w:tr>
        <w:tc>
          <w:tcPr/>
          <w:bookmarkStart w:id="234" w:name="fig-securisation"/>
          <w:p>
            <w:pPr>
              <w:jc w:val="center"/>
            </w:pPr>
            <w:pPr>
              <w:jc w:val="left"/>
              <w:spacing w:before="200"/>
              <w:pStyle w:val="ImageCaption"/>
            </w:pPr>
            <w:r>
              <w:t xml:space="preserve">Figure 4.8: Sécurisation foncière des parcelles possédées</w:t>
            </w:r>
          </w:p>
          <w:p>
            <w:pPr>
              <w:pStyle w:val="Compact"/>
              <w:jc w:val="center"/>
            </w:pPr>
            <w:r>
              <w:drawing>
                <wp:inline>
                  <wp:extent cx="4620126" cy="3696101"/>
                  <wp:effectExtent b="0" l="0" r="0" t="0"/>
                  <wp:docPr descr="" title="" id="232" name="Picture"/>
                  <a:graphic>
                    <a:graphicData uri="http://schemas.openxmlformats.org/drawingml/2006/picture">
                      <pic:pic>
                        <pic:nvPicPr>
                          <pic:cNvPr descr="04_foncier_files/figure-docx/fig-securisation-1.png" id="233" name="Picture"/>
                          <pic:cNvPicPr>
                            <a:picLocks noChangeArrowheads="1" noChangeAspect="1"/>
                          </pic:cNvPicPr>
                        </pic:nvPicPr>
                        <pic:blipFill>
                          <a:blip r:embed="rId231"/>
                          <a:stretch>
                            <a:fillRect/>
                          </a:stretch>
                        </pic:blipFill>
                        <pic:spPr bwMode="auto">
                          <a:xfrm>
                            <a:off x="0" y="0"/>
                            <a:ext cx="4620126" cy="3696101"/>
                          </a:xfrm>
                          <a:prstGeom prst="rect">
                            <a:avLst/>
                          </a:prstGeom>
                          <a:noFill/>
                          <a:ln w="9525">
                            <a:noFill/>
                            <a:headEnd/>
                            <a:tailEnd/>
                          </a:ln>
                        </pic:spPr>
                      </pic:pic>
                    </a:graphicData>
                  </a:graphic>
                </wp:inline>
              </w:drawing>
            </w:r>
          </w:p>
          <w:bookmarkEnd w:id="234"/>
        </w:tc>
      </w:tr>
    </w:tbl>
    <w:p>
      <w:pPr>
        <w:pStyle w:val="Corpsdetexte"/>
      </w:pPr>
      <w:r>
        <w:t xml:space="preserve">En l’absence de titre ou de certificat, les ménages s’appuient sur des documents informels de nature très variable (</w:t>
      </w:r>
      <w:hyperlink w:anchor="fig-papiers">
        <w:r>
          <w:rPr>
            <w:rStyle w:val="Lienhypertexte"/>
          </w:rPr>
          <w:t xml:space="preserve">Figure 4.9</w:t>
        </w:r>
      </w:hyperlink>
      <w:r>
        <w:t xml:space="preserve">). Cependant, 35.6 % des parcelles ne sont accompagnées d’aucun document justificatif, ce qui expose ces ménages à un risque élevé d’insécurité foncière en cas de litige.</w:t>
      </w:r>
    </w:p>
    <w:tbl>
      <w:tblPr>
        <w:tblStyle w:val="Table"/>
        <w:tblW w:type="pct" w:w="5000"/>
        <w:tblLayout w:type="fixed"/>
        <w:tblLook w:firstRow="0" w:lastRow="0" w:firstColumn="0" w:lastColumn="0" w:noHBand="0" w:noVBand="0" w:val="0000"/>
      </w:tblPr>
      <w:tblGrid>
        <w:gridCol w:w="7920"/>
      </w:tblGrid>
      <w:tr>
        <w:tc>
          <w:tcPr/>
          <w:bookmarkStart w:id="238" w:name="fig-papiers"/>
          <w:p>
            <w:pPr>
              <w:jc w:val="center"/>
            </w:pPr>
            <w:pPr>
              <w:jc w:val="left"/>
              <w:spacing w:before="200"/>
              <w:pStyle w:val="ImageCaption"/>
            </w:pPr>
            <w:r>
              <w:t xml:space="preserve">Figure 4.9: Autres documents prouvant la possession</w:t>
            </w:r>
          </w:p>
          <w:p>
            <w:pPr>
              <w:pStyle w:val="Compact"/>
              <w:jc w:val="center"/>
            </w:pPr>
            <w:r>
              <w:drawing>
                <wp:inline>
                  <wp:extent cx="5969000" cy="5969000"/>
                  <wp:effectExtent b="0" l="0" r="0" t="0"/>
                  <wp:docPr descr="" title="" id="236" name="Picture"/>
                  <a:graphic>
                    <a:graphicData uri="http://schemas.openxmlformats.org/drawingml/2006/picture">
                      <pic:pic>
                        <pic:nvPicPr>
                          <pic:cNvPr descr="04_foncier_files/figure-docx/fig-papiers-1.png" id="237" name="Picture"/>
                          <pic:cNvPicPr>
                            <a:picLocks noChangeArrowheads="1" noChangeAspect="1"/>
                          </pic:cNvPicPr>
                        </pic:nvPicPr>
                        <pic:blipFill>
                          <a:blip r:embed="rId235"/>
                          <a:stretch>
                            <a:fillRect/>
                          </a:stretch>
                        </pic:blipFill>
                        <pic:spPr bwMode="auto">
                          <a:xfrm>
                            <a:off x="0" y="0"/>
                            <a:ext cx="5969000" cy="5969000"/>
                          </a:xfrm>
                          <a:prstGeom prst="rect">
                            <a:avLst/>
                          </a:prstGeom>
                          <a:noFill/>
                          <a:ln w="9525">
                            <a:noFill/>
                            <a:headEnd/>
                            <a:tailEnd/>
                          </a:ln>
                        </pic:spPr>
                      </pic:pic>
                    </a:graphicData>
                  </a:graphic>
                </wp:inline>
              </w:drawing>
            </w:r>
          </w:p>
          <w:bookmarkEnd w:id="238"/>
        </w:tc>
      </w:tr>
    </w:tbl>
    <w:bookmarkEnd w:id="239"/>
    <w:bookmarkStart w:id="253" w:name="sec-cessions"/>
    <w:p>
      <w:pPr>
        <w:pStyle w:val="Titre2"/>
      </w:pPr>
      <w:r>
        <w:t xml:space="preserve">4.3 Parcelles cédées à des tiers</w:t>
      </w:r>
    </w:p>
    <w:p>
      <w:pPr>
        <w:pStyle w:val="FirstParagraph"/>
      </w:pPr>
      <w:r>
        <w:t xml:space="preserve">Les ménages propriétaires peuvent céder certaines de leurs parcelles à d’autres exploitants, sous forme de prêt, location, métayage ou mise en gage (</w:t>
      </w:r>
      <w:hyperlink w:anchor="tbl-cession-pratique">
        <w:r>
          <w:rPr>
            <w:rStyle w:val="Lienhypertexte"/>
          </w:rPr>
          <w:t xml:space="preserve">Table 4.2</w:t>
        </w:r>
      </w:hyperlink>
      <w:r>
        <w:t xml:space="preserve">), pour un total de 74 parcelles cédées.</w:t>
      </w:r>
    </w:p>
    <w:p>
      <w:pPr>
        <w:pStyle w:val="Corpsdetexte"/>
      </w:pPr>
      <w:r>
        <w:rPr>
          <w:b/>
          <w:bCs/>
        </w:rPr>
        <w:t xml:space="preserve">Marovoay.</w:t>
      </w:r>
      <w:r>
        <w:t xml:space="preserve"> </w:t>
      </w:r>
      <w:r>
        <w:t xml:space="preserve">Cette pratique concerne 10.6 % des ménages.</w:t>
      </w:r>
    </w:p>
    <w:tbl>
      <w:tblPr>
        <w:tblStyle w:val="Table"/>
        <w:tblW w:type="pct" w:w="5000"/>
        <w:tblLayout w:type="fixed"/>
        <w:tblLook w:firstRow="0" w:lastRow="0" w:firstColumn="0" w:lastColumn="0" w:noHBand="0" w:noVBand="0" w:val="0000"/>
      </w:tblPr>
      <w:tblGrid>
        <w:gridCol w:w="7920"/>
      </w:tblGrid>
      <w:tr>
        <w:tc>
          <w:tcPr/>
          <w:bookmarkStart w:id="240" w:name="tbl-cession-pratique"/>
          <w:p>
            <w:pPr>
              <w:jc w:val="center"/>
            </w:pPr>
            <w:pPr>
              <w:jc w:val="left"/>
              <w:spacing w:before="200"/>
              <w:pStyle w:val="ImageCaption"/>
            </w:pPr>
            <w:r>
              <w:t xml:space="preserve">Table 4.2: Ménages cédant des parcelles à des tiers</w:t>
            </w:r>
          </w:p>
          <w:bookmarkEnd w:id="240"/>
        </w:tc>
      </w:tr>
    </w:tbl>
    <w:p>
      <w:pPr>
        <w:pStyle w:val="Corpsdetexte"/>
      </w:pPr>
      <w:r>
        <w:t xml:space="preserve">Parmi les parcelles cédées, les modes de faire-valoir varient sensiblement d’un observatoire à l’autre (</w:t>
      </w:r>
      <w:hyperlink w:anchor="fig-mode-cession">
        <w:r>
          <w:rPr>
            <w:rStyle w:val="Lienhypertexte"/>
          </w:rPr>
          <w:t xml:space="preserve">Figure 4.10</w:t>
        </w:r>
      </w:hyperlink>
      <w:r>
        <w:t xml:space="preserve">). Le prêt et le métayage sont les formes les plus courantes de cession, le métayage occupant une place particulièrement importante dans les zones rizicoles.</w:t>
      </w:r>
    </w:p>
    <w:tbl>
      <w:tblPr>
        <w:tblStyle w:val="Table"/>
        <w:tblW w:type="pct" w:w="5000"/>
        <w:tblLayout w:type="fixed"/>
        <w:tblLook w:firstRow="0" w:lastRow="0" w:firstColumn="0" w:lastColumn="0" w:noHBand="0" w:noVBand="0" w:val="0000"/>
      </w:tblPr>
      <w:tblGrid>
        <w:gridCol w:w="7920"/>
      </w:tblGrid>
      <w:tr>
        <w:tc>
          <w:tcPr/>
          <w:bookmarkStart w:id="244" w:name="fig-mode-cession"/>
          <w:p>
            <w:pPr>
              <w:jc w:val="center"/>
            </w:pPr>
            <w:pPr>
              <w:jc w:val="left"/>
              <w:spacing w:before="200"/>
              <w:pStyle w:val="ImageCaption"/>
            </w:pPr>
            <w:r>
              <w:t xml:space="preserve">Figure 4.10: Mode de faire-valoir des parcelles cédées</w:t>
            </w:r>
          </w:p>
          <w:p>
            <w:pPr>
              <w:pStyle w:val="Compact"/>
              <w:jc w:val="center"/>
            </w:pPr>
            <w:r>
              <w:drawing>
                <wp:inline>
                  <wp:extent cx="5969000" cy="6100262"/>
                  <wp:effectExtent b="0" l="0" r="0" t="0"/>
                  <wp:docPr descr="" title="" id="242" name="Picture"/>
                  <a:graphic>
                    <a:graphicData uri="http://schemas.openxmlformats.org/drawingml/2006/picture">
                      <pic:pic>
                        <pic:nvPicPr>
                          <pic:cNvPr descr="04_foncier_files/figure-docx/fig-mode-cession-1.png" id="243" name="Picture"/>
                          <pic:cNvPicPr>
                            <a:picLocks noChangeArrowheads="1" noChangeAspect="1"/>
                          </pic:cNvPicPr>
                        </pic:nvPicPr>
                        <pic:blipFill>
                          <a:blip r:embed="rId241"/>
                          <a:stretch>
                            <a:fillRect/>
                          </a:stretch>
                        </pic:blipFill>
                        <pic:spPr bwMode="auto">
                          <a:xfrm>
                            <a:off x="0" y="0"/>
                            <a:ext cx="5969000" cy="6100262"/>
                          </a:xfrm>
                          <a:prstGeom prst="rect">
                            <a:avLst/>
                          </a:prstGeom>
                          <a:noFill/>
                          <a:ln w="9525">
                            <a:noFill/>
                            <a:headEnd/>
                            <a:tailEnd/>
                          </a:ln>
                        </pic:spPr>
                      </pic:pic>
                    </a:graphicData>
                  </a:graphic>
                </wp:inline>
              </w:drawing>
            </w:r>
          </w:p>
          <w:bookmarkEnd w:id="244"/>
        </w:tc>
      </w:tr>
    </w:tbl>
    <w:p>
      <w:pPr>
        <w:pStyle w:val="Corpsdetexte"/>
      </w:pPr>
      <w:r>
        <w:t xml:space="preserve">Les motivations de la cession reflètent des stratégies économiques diversifiées (</w:t>
      </w:r>
      <w:hyperlink w:anchor="fig-motif-cession">
        <w:r>
          <w:rPr>
            <w:rStyle w:val="Lienhypertexte"/>
          </w:rPr>
          <w:t xml:space="preserve">Figure 4.11</w:t>
        </w:r>
      </w:hyperlink>
      <w:r>
        <w:t xml:space="preserve">). Pour certains ménages, céder une parcelle répond à un besoin de liquidités ou à l’impossibilité de cultiver l’ensemble de leur patrimoine ; pour d’autres, il s’agit de maintenir un lien social avec la parenté ou le voisinage.</w:t>
      </w:r>
    </w:p>
    <w:tbl>
      <w:tblPr>
        <w:tblStyle w:val="Table"/>
        <w:tblW w:type="pct" w:w="5000"/>
        <w:tblLayout w:type="fixed"/>
        <w:tblLook w:firstRow="0" w:lastRow="0" w:firstColumn="0" w:lastColumn="0" w:noHBand="0" w:noVBand="0" w:val="0000"/>
      </w:tblPr>
      <w:tblGrid>
        <w:gridCol w:w="7920"/>
      </w:tblGrid>
      <w:tr>
        <w:tc>
          <w:tcPr/>
          <w:bookmarkStart w:id="248" w:name="fig-motif-cession"/>
          <w:p>
            <w:pPr>
              <w:jc w:val="center"/>
            </w:pPr>
            <w:pPr>
              <w:jc w:val="left"/>
              <w:spacing w:before="200"/>
              <w:pStyle w:val="ImageCaption"/>
            </w:pPr>
            <w:r>
              <w:t xml:space="preserve">Figure 4.11: Motif de la cession de parcelles</w:t>
            </w:r>
          </w:p>
          <w:p>
            <w:pPr>
              <w:pStyle w:val="Compact"/>
              <w:jc w:val="center"/>
            </w:pPr>
            <w:r>
              <w:drawing>
                <wp:inline>
                  <wp:extent cx="5969000" cy="5969000"/>
                  <wp:effectExtent b="0" l="0" r="0" t="0"/>
                  <wp:docPr descr="" title="" id="246" name="Picture"/>
                  <a:graphic>
                    <a:graphicData uri="http://schemas.openxmlformats.org/drawingml/2006/picture">
                      <pic:pic>
                        <pic:nvPicPr>
                          <pic:cNvPr descr="04_foncier_files/figure-docx/fig-motif-cession-1.png" id="247" name="Picture"/>
                          <pic:cNvPicPr>
                            <a:picLocks noChangeArrowheads="1" noChangeAspect="1"/>
                          </pic:cNvPicPr>
                        </pic:nvPicPr>
                        <pic:blipFill>
                          <a:blip r:embed="rId245"/>
                          <a:stretch>
                            <a:fillRect/>
                          </a:stretch>
                        </pic:blipFill>
                        <pic:spPr bwMode="auto">
                          <a:xfrm>
                            <a:off x="0" y="0"/>
                            <a:ext cx="5969000" cy="5969000"/>
                          </a:xfrm>
                          <a:prstGeom prst="rect">
                            <a:avLst/>
                          </a:prstGeom>
                          <a:noFill/>
                          <a:ln w="9525">
                            <a:noFill/>
                            <a:headEnd/>
                            <a:tailEnd/>
                          </a:ln>
                        </pic:spPr>
                      </pic:pic>
                    </a:graphicData>
                  </a:graphic>
                </wp:inline>
              </w:drawing>
            </w:r>
          </w:p>
          <w:bookmarkEnd w:id="248"/>
        </w:tc>
      </w:tr>
    </w:tbl>
    <w:p>
      <w:pPr>
        <w:pStyle w:val="Corpsdetexte"/>
      </w:pPr>
      <w:r>
        <w:t xml:space="preserve">Les bénéficiaires des cessions sont principalement des membres de la famille ou des voisins (</w:t>
      </w:r>
      <w:hyperlink w:anchor="fig-cedee-a-qui">
        <w:r>
          <w:rPr>
            <w:rStyle w:val="Lienhypertexte"/>
          </w:rPr>
          <w:t xml:space="preserve">Figure 4.12</w:t>
        </w:r>
      </w:hyperlink>
      <w:r>
        <w:t xml:space="preserve">), ce qui confirme le caractère en grande partie familial et communautaire du marché foncier local.</w:t>
      </w:r>
    </w:p>
    <w:tbl>
      <w:tblPr>
        <w:tblStyle w:val="Table"/>
        <w:tblW w:type="pct" w:w="5000"/>
        <w:tblLayout w:type="fixed"/>
        <w:tblLook w:firstRow="0" w:lastRow="0" w:firstColumn="0" w:lastColumn="0" w:noHBand="0" w:noVBand="0" w:val="0000"/>
      </w:tblPr>
      <w:tblGrid>
        <w:gridCol w:w="7920"/>
      </w:tblGrid>
      <w:tr>
        <w:tc>
          <w:tcPr/>
          <w:bookmarkStart w:id="252" w:name="fig-cedee-a-qui"/>
          <w:p>
            <w:pPr>
              <w:jc w:val="center"/>
            </w:pPr>
            <w:pPr>
              <w:jc w:val="left"/>
              <w:spacing w:before="200"/>
              <w:pStyle w:val="ImageCaption"/>
            </w:pPr>
            <w:r>
              <w:t xml:space="preserve">Figure 4.12: À qui la parcelle est-elle cédée</w:t>
            </w:r>
          </w:p>
          <w:p>
            <w:pPr>
              <w:pStyle w:val="Compact"/>
              <w:jc w:val="center"/>
            </w:pPr>
            <w:r>
              <w:drawing>
                <wp:inline>
                  <wp:extent cx="5969000" cy="5969000"/>
                  <wp:effectExtent b="0" l="0" r="0" t="0"/>
                  <wp:docPr descr="" title="" id="250" name="Picture"/>
                  <a:graphic>
                    <a:graphicData uri="http://schemas.openxmlformats.org/drawingml/2006/picture">
                      <pic:pic>
                        <pic:nvPicPr>
                          <pic:cNvPr descr="04_foncier_files/figure-docx/fig-cedee-a-qui-1.png" id="251" name="Picture"/>
                          <pic:cNvPicPr>
                            <a:picLocks noChangeArrowheads="1" noChangeAspect="1"/>
                          </pic:cNvPicPr>
                        </pic:nvPicPr>
                        <pic:blipFill>
                          <a:blip r:embed="rId249"/>
                          <a:stretch>
                            <a:fillRect/>
                          </a:stretch>
                        </pic:blipFill>
                        <pic:spPr bwMode="auto">
                          <a:xfrm>
                            <a:off x="0" y="0"/>
                            <a:ext cx="5969000" cy="5969000"/>
                          </a:xfrm>
                          <a:prstGeom prst="rect">
                            <a:avLst/>
                          </a:prstGeom>
                          <a:noFill/>
                          <a:ln w="9525">
                            <a:noFill/>
                            <a:headEnd/>
                            <a:tailEnd/>
                          </a:ln>
                        </pic:spPr>
                      </pic:pic>
                    </a:graphicData>
                  </a:graphic>
                </wp:inline>
              </w:drawing>
            </w:r>
          </w:p>
          <w:bookmarkEnd w:id="252"/>
        </w:tc>
      </w:tr>
    </w:tbl>
    <w:bookmarkEnd w:id="253"/>
    <w:bookmarkStart w:id="272" w:name="sec-exploitees"/>
    <w:p>
      <w:pPr>
        <w:pStyle w:val="Titre2"/>
      </w:pPr>
      <w:r>
        <w:t xml:space="preserve">4.4 Parcelles exploitées non possédées</w:t>
      </w:r>
    </w:p>
    <w:p>
      <w:pPr>
        <w:pStyle w:val="FirstParagraph"/>
      </w:pPr>
      <w:r>
        <w:t xml:space="preserve">En plus de leurs propres parcelles, de nombreux ménages exploitent des terres appartenant à d’autres propriétaires (</w:t>
      </w:r>
      <w:hyperlink w:anchor="tbl-exploitation-autres">
        <w:r>
          <w:rPr>
            <w:rStyle w:val="Lienhypertexte"/>
          </w:rPr>
          <w:t xml:space="preserve">Table 4.3</w:t>
        </w:r>
      </w:hyperlink>
      <w:r>
        <w:t xml:space="preserve">), pour un total de 363 parcelles. Le recours à l’exploitation de terres d’autrui traduit soit une insuffisance du patrimoine propre, soit une stratégie de diversification de l’assiette foncière cultivée.</w:t>
      </w:r>
    </w:p>
    <w:p>
      <w:pPr>
        <w:pStyle w:val="Corpsdetexte"/>
      </w:pPr>
      <w:r>
        <w:rPr>
          <w:b/>
          <w:bCs/>
        </w:rPr>
        <w:t xml:space="preserve">Marovoay.</w:t>
      </w:r>
      <w:r>
        <w:t xml:space="preserve"> </w:t>
      </w:r>
      <w:r>
        <w:t xml:space="preserve">Cette pratique concerne 46.8 % des ménages.</w:t>
      </w:r>
    </w:p>
    <w:tbl>
      <w:tblPr>
        <w:tblStyle w:val="Table"/>
        <w:tblW w:type="pct" w:w="5000"/>
        <w:tblLayout w:type="fixed"/>
        <w:tblLook w:firstRow="0" w:lastRow="0" w:firstColumn="0" w:lastColumn="0" w:noHBand="0" w:noVBand="0" w:val="0000"/>
      </w:tblPr>
      <w:tblGrid>
        <w:gridCol w:w="7920"/>
      </w:tblGrid>
      <w:tr>
        <w:tc>
          <w:tcPr/>
          <w:bookmarkStart w:id="254" w:name="tbl-exploitation-autres"/>
          <w:p>
            <w:pPr>
              <w:jc w:val="center"/>
            </w:pPr>
            <w:pPr>
              <w:jc w:val="left"/>
              <w:spacing w:before="200"/>
              <w:pStyle w:val="ImageCaption"/>
            </w:pPr>
            <w:r>
              <w:t xml:space="preserve">Table 4.3: Ménages exploitant des parcelles non possédées</w:t>
            </w:r>
          </w:p>
          <w:bookmarkEnd w:id="254"/>
        </w:tc>
      </w:tr>
    </w:tbl>
    <w:p>
      <w:pPr>
        <w:pStyle w:val="Corpsdetexte"/>
      </w:pPr>
      <w:r>
        <w:t xml:space="preserve">Les parcelles exploitées sans en être propriétaire sont, comme les parcelles possédées, majoritairement des rizières (</w:t>
      </w:r>
      <w:hyperlink w:anchor="fig-type-exploitee">
        <w:r>
          <w:rPr>
            <w:rStyle w:val="Lienhypertexte"/>
          </w:rPr>
          <w:t xml:space="preserve">Figure 4.13</w:t>
        </w:r>
      </w:hyperlink>
      <w:r>
        <w:t xml:space="preserve">), reflétant la place centrale de la riziculture dans les stratégies des ménages.</w:t>
      </w:r>
    </w:p>
    <w:tbl>
      <w:tblPr>
        <w:tblStyle w:val="Table"/>
        <w:tblW w:type="pct" w:w="5000"/>
        <w:tblLayout w:type="fixed"/>
        <w:tblLook w:firstRow="0" w:lastRow="0" w:firstColumn="0" w:lastColumn="0" w:noHBand="0" w:noVBand="0" w:val="0000"/>
      </w:tblPr>
      <w:tblGrid>
        <w:gridCol w:w="7920"/>
      </w:tblGrid>
      <w:tr>
        <w:tc>
          <w:tcPr/>
          <w:bookmarkStart w:id="258" w:name="fig-type-exploitee"/>
          <w:p>
            <w:pPr>
              <w:jc w:val="center"/>
            </w:pPr>
            <w:pPr>
              <w:jc w:val="left"/>
              <w:spacing w:before="200"/>
              <w:pStyle w:val="ImageCaption"/>
            </w:pPr>
            <w:r>
              <w:t xml:space="preserve">Figure 4.13: Type des parcelles exploitées (non possédées)</w:t>
            </w:r>
          </w:p>
          <w:p>
            <w:pPr>
              <w:pStyle w:val="Compact"/>
              <w:jc w:val="center"/>
            </w:pPr>
            <w:r>
              <w:drawing>
                <wp:inline>
                  <wp:extent cx="5969000" cy="6100262"/>
                  <wp:effectExtent b="0" l="0" r="0" t="0"/>
                  <wp:docPr descr="" title="" id="256" name="Picture"/>
                  <a:graphic>
                    <a:graphicData uri="http://schemas.openxmlformats.org/drawingml/2006/picture">
                      <pic:pic>
                        <pic:nvPicPr>
                          <pic:cNvPr descr="04_foncier_files/figure-docx/fig-type-exploitee-1.png" id="257" name="Picture"/>
                          <pic:cNvPicPr>
                            <a:picLocks noChangeArrowheads="1" noChangeAspect="1"/>
                          </pic:cNvPicPr>
                        </pic:nvPicPr>
                        <pic:blipFill>
                          <a:blip r:embed="rId255"/>
                          <a:stretch>
                            <a:fillRect/>
                          </a:stretch>
                        </pic:blipFill>
                        <pic:spPr bwMode="auto">
                          <a:xfrm>
                            <a:off x="0" y="0"/>
                            <a:ext cx="5969000" cy="6100262"/>
                          </a:xfrm>
                          <a:prstGeom prst="rect">
                            <a:avLst/>
                          </a:prstGeom>
                          <a:noFill/>
                          <a:ln w="9525">
                            <a:noFill/>
                            <a:headEnd/>
                            <a:tailEnd/>
                          </a:ln>
                        </pic:spPr>
                      </pic:pic>
                    </a:graphicData>
                  </a:graphic>
                </wp:inline>
              </w:drawing>
            </w:r>
          </w:p>
          <w:bookmarkEnd w:id="258"/>
        </w:tc>
      </w:tr>
    </w:tbl>
    <w:p>
      <w:pPr>
        <w:pStyle w:val="Corpsdetexte"/>
      </w:pPr>
      <w:r>
        <w:t xml:space="preserve">Le mode de faire-valoir des parcelles exploitées révèle l’équilibre local entre prêt, location et métayage (</w:t>
      </w:r>
      <w:hyperlink w:anchor="fig-fv-exploitee">
        <w:r>
          <w:rPr>
            <w:rStyle w:val="Lienhypertexte"/>
          </w:rPr>
          <w:t xml:space="preserve">Figure 4.14</w:t>
        </w:r>
      </w:hyperlink>
      <w:r>
        <w:t xml:space="preserve">). Le métayage, qui consiste à partager la récolte avec le propriétaire, reste une forme d’accès au foncier particulièrement répandue.</w:t>
      </w:r>
    </w:p>
    <w:tbl>
      <w:tblPr>
        <w:tblStyle w:val="Table"/>
        <w:tblW w:type="pct" w:w="5000"/>
        <w:tblLayout w:type="fixed"/>
        <w:tblLook w:firstRow="0" w:lastRow="0" w:firstColumn="0" w:lastColumn="0" w:noHBand="0" w:noVBand="0" w:val="0000"/>
      </w:tblPr>
      <w:tblGrid>
        <w:gridCol w:w="7920"/>
      </w:tblGrid>
      <w:tr>
        <w:tc>
          <w:tcPr/>
          <w:bookmarkStart w:id="262" w:name="fig-fv-exploitee"/>
          <w:p>
            <w:pPr>
              <w:jc w:val="center"/>
            </w:pPr>
            <w:pPr>
              <w:jc w:val="left"/>
              <w:spacing w:before="200"/>
              <w:pStyle w:val="ImageCaption"/>
            </w:pPr>
            <w:r>
              <w:t xml:space="preserve">Figure 4.14: Mode de faire-valoir des parcelles exploitées</w:t>
            </w:r>
          </w:p>
          <w:p>
            <w:pPr>
              <w:pStyle w:val="Compact"/>
              <w:jc w:val="center"/>
            </w:pPr>
            <w:r>
              <w:drawing>
                <wp:inline>
                  <wp:extent cx="5969000" cy="6100262"/>
                  <wp:effectExtent b="0" l="0" r="0" t="0"/>
                  <wp:docPr descr="" title="" id="260" name="Picture"/>
                  <a:graphic>
                    <a:graphicData uri="http://schemas.openxmlformats.org/drawingml/2006/picture">
                      <pic:pic>
                        <pic:nvPicPr>
                          <pic:cNvPr descr="04_foncier_files/figure-docx/fig-fv-exploitee-1.png" id="261" name="Picture"/>
                          <pic:cNvPicPr>
                            <a:picLocks noChangeArrowheads="1" noChangeAspect="1"/>
                          </pic:cNvPicPr>
                        </pic:nvPicPr>
                        <pic:blipFill>
                          <a:blip r:embed="rId259"/>
                          <a:stretch>
                            <a:fillRect/>
                          </a:stretch>
                        </pic:blipFill>
                        <pic:spPr bwMode="auto">
                          <a:xfrm>
                            <a:off x="0" y="0"/>
                            <a:ext cx="5969000" cy="6100262"/>
                          </a:xfrm>
                          <a:prstGeom prst="rect">
                            <a:avLst/>
                          </a:prstGeom>
                          <a:noFill/>
                          <a:ln w="9525">
                            <a:noFill/>
                            <a:headEnd/>
                            <a:tailEnd/>
                          </a:ln>
                        </pic:spPr>
                      </pic:pic>
                    </a:graphicData>
                  </a:graphic>
                </wp:inline>
              </w:drawing>
            </w:r>
          </w:p>
          <w:bookmarkEnd w:id="262"/>
        </w:tc>
      </w:tr>
    </w:tbl>
    <w:p>
      <w:pPr>
        <w:pStyle w:val="Corpsdetexte"/>
      </w:pPr>
      <w:r>
        <w:t xml:space="preserve">Les parcelles exploitées appartiennent le plus souvent à des membres de la famille ou à des voisins (</w:t>
      </w:r>
      <w:hyperlink w:anchor="fig-proprietaire-exploitee">
        <w:r>
          <w:rPr>
            <w:rStyle w:val="Lienhypertexte"/>
          </w:rPr>
          <w:t xml:space="preserve">Figure 4.15</w:t>
        </w:r>
      </w:hyperlink>
      <w:r>
        <w:t xml:space="preserve">), ce qui témoigne du rôle des réseaux de proximité dans l’accès au foncier.</w:t>
      </w:r>
    </w:p>
    <w:tbl>
      <w:tblPr>
        <w:tblStyle w:val="Table"/>
        <w:tblW w:type="pct" w:w="5000"/>
        <w:tblLayout w:type="fixed"/>
        <w:tblLook w:firstRow="0" w:lastRow="0" w:firstColumn="0" w:lastColumn="0" w:noHBand="0" w:noVBand="0" w:val="0000"/>
      </w:tblPr>
      <w:tblGrid>
        <w:gridCol w:w="7920"/>
      </w:tblGrid>
      <w:tr>
        <w:tc>
          <w:tcPr/>
          <w:bookmarkStart w:id="266" w:name="fig-proprietaire-exploitee"/>
          <w:p>
            <w:pPr>
              <w:jc w:val="center"/>
            </w:pPr>
            <w:pPr>
              <w:jc w:val="left"/>
              <w:spacing w:before="200"/>
              <w:pStyle w:val="ImageCaption"/>
            </w:pPr>
            <w:r>
              <w:t xml:space="preserve">Figure 4.15: Propriétaire des parcelles exploitées</w:t>
            </w:r>
          </w:p>
          <w:p>
            <w:pPr>
              <w:pStyle w:val="Compact"/>
              <w:jc w:val="center"/>
            </w:pPr>
            <w:r>
              <w:drawing>
                <wp:inline>
                  <wp:extent cx="5969000" cy="5969000"/>
                  <wp:effectExtent b="0" l="0" r="0" t="0"/>
                  <wp:docPr descr="" title="" id="264" name="Picture"/>
                  <a:graphic>
                    <a:graphicData uri="http://schemas.openxmlformats.org/drawingml/2006/picture">
                      <pic:pic>
                        <pic:nvPicPr>
                          <pic:cNvPr descr="04_foncier_files/figure-docx/fig-proprietaire-exploitee-1.png" id="265" name="Picture"/>
                          <pic:cNvPicPr>
                            <a:picLocks noChangeArrowheads="1" noChangeAspect="1"/>
                          </pic:cNvPicPr>
                        </pic:nvPicPr>
                        <pic:blipFill>
                          <a:blip r:embed="rId263"/>
                          <a:stretch>
                            <a:fillRect/>
                          </a:stretch>
                        </pic:blipFill>
                        <pic:spPr bwMode="auto">
                          <a:xfrm>
                            <a:off x="0" y="0"/>
                            <a:ext cx="5969000" cy="5969000"/>
                          </a:xfrm>
                          <a:prstGeom prst="rect">
                            <a:avLst/>
                          </a:prstGeom>
                          <a:noFill/>
                          <a:ln w="9525">
                            <a:noFill/>
                            <a:headEnd/>
                            <a:tailEnd/>
                          </a:ln>
                        </pic:spPr>
                      </pic:pic>
                    </a:graphicData>
                  </a:graphic>
                </wp:inline>
              </w:drawing>
            </w:r>
          </w:p>
          <w:bookmarkEnd w:id="266"/>
        </w:tc>
      </w:tr>
    </w:tbl>
    <w:p>
      <w:pPr>
        <w:pStyle w:val="Corpsdetexte"/>
      </w:pPr>
      <w:r>
        <w:t xml:space="preserve">Le mode d’irrigation des parcelles exploitées diffère-t-il de celui des parcelles possédées ? La</w:t>
      </w:r>
      <w:r>
        <w:t xml:space="preserve"> </w:t>
      </w:r>
      <w:hyperlink w:anchor="fig-irrigation-exploitee">
        <w:r>
          <w:rPr>
            <w:rStyle w:val="Lienhypertexte"/>
          </w:rPr>
          <w:t xml:space="preserve">Figure 4.16</w:t>
        </w:r>
      </w:hyperlink>
      <w:r>
        <w:t xml:space="preserve"> </w:t>
      </w:r>
      <w:r>
        <w:t xml:space="preserve">permet d’examiner si les ménages qui exploitent des terres d’autrui accèdent à des parcelles de même qualité irriguée.</w:t>
      </w:r>
    </w:p>
    <w:tbl>
      <w:tblPr>
        <w:tblStyle w:val="Table"/>
        <w:tblW w:type="pct" w:w="5000"/>
        <w:tblLayout w:type="fixed"/>
        <w:tblLook w:firstRow="0" w:lastRow="0" w:firstColumn="0" w:lastColumn="0" w:noHBand="0" w:noVBand="0" w:val="0000"/>
      </w:tblPr>
      <w:tblGrid>
        <w:gridCol w:w="7920"/>
      </w:tblGrid>
      <w:tr>
        <w:tc>
          <w:tcPr/>
          <w:bookmarkStart w:id="270" w:name="fig-irrigation-exploitee"/>
          <w:p>
            <w:pPr>
              <w:jc w:val="center"/>
            </w:pPr>
            <w:pPr>
              <w:jc w:val="left"/>
              <w:spacing w:before="200"/>
              <w:pStyle w:val="ImageCaption"/>
            </w:pPr>
            <w:r>
              <w:t xml:space="preserve">Figure 4.16: Mode d’irrigation des parcelles exploitées</w:t>
            </w:r>
          </w:p>
          <w:p>
            <w:pPr>
              <w:pStyle w:val="Compact"/>
              <w:jc w:val="center"/>
            </w:pPr>
            <w:r>
              <w:drawing>
                <wp:inline>
                  <wp:extent cx="5969000" cy="5490236"/>
                  <wp:effectExtent b="0" l="0" r="0" t="0"/>
                  <wp:docPr descr="" title="" id="268" name="Picture"/>
                  <a:graphic>
                    <a:graphicData uri="http://schemas.openxmlformats.org/drawingml/2006/picture">
                      <pic:pic>
                        <pic:nvPicPr>
                          <pic:cNvPr descr="04_foncier_files/figure-docx/fig-irrigation-exploitee-1.png" id="269" name="Picture"/>
                          <pic:cNvPicPr>
                            <a:picLocks noChangeArrowheads="1" noChangeAspect="1"/>
                          </pic:cNvPicPr>
                        </pic:nvPicPr>
                        <pic:blipFill>
                          <a:blip r:embed="rId267"/>
                          <a:stretch>
                            <a:fillRect/>
                          </a:stretch>
                        </pic:blipFill>
                        <pic:spPr bwMode="auto">
                          <a:xfrm>
                            <a:off x="0" y="0"/>
                            <a:ext cx="5969000" cy="5490236"/>
                          </a:xfrm>
                          <a:prstGeom prst="rect">
                            <a:avLst/>
                          </a:prstGeom>
                          <a:noFill/>
                          <a:ln w="9525">
                            <a:noFill/>
                            <a:headEnd/>
                            <a:tailEnd/>
                          </a:ln>
                        </pic:spPr>
                      </pic:pic>
                    </a:graphicData>
                  </a:graphic>
                </wp:inline>
              </w:drawing>
            </w:r>
          </w:p>
          <w:bookmarkEnd w:id="270"/>
        </w:tc>
      </w:tr>
    </w:tbl>
    <w:p>
      <w:pPr>
        <w:pStyle w:val="Corpsdetexte"/>
      </w:pPr>
      <w:r>
        <w:t xml:space="preserve">Le coût de l’exploitation de terres d’autrui varie selon le mode de faire-valoir (</w:t>
      </w:r>
      <w:hyperlink w:anchor="tbl-rente-exploitee">
        <w:r>
          <w:rPr>
            <w:rStyle w:val="Lienhypertexte"/>
          </w:rPr>
          <w:t xml:space="preserve">Table 4.4</w:t>
        </w:r>
      </w:hyperlink>
      <w:r>
        <w:t xml:space="preserve">). Les ménages locataires versent une rente en argent ou en nature, tandis que les métayers cèdent une part de la récolte au propriétaire, généralement comprise entre un quart et la moitié de la production.</w:t>
      </w:r>
    </w:p>
    <w:tbl>
      <w:tblPr>
        <w:tblStyle w:val="Table"/>
        <w:tblW w:type="pct" w:w="5000"/>
        <w:tblLayout w:type="fixed"/>
        <w:tblLook w:firstRow="0" w:lastRow="0" w:firstColumn="0" w:lastColumn="0" w:noHBand="0" w:noVBand="0" w:val="0000"/>
      </w:tblPr>
      <w:tblGrid>
        <w:gridCol w:w="7920"/>
      </w:tblGrid>
      <w:tr>
        <w:tc>
          <w:tcPr/>
          <w:bookmarkStart w:id="271" w:name="tbl-rente-exploitee"/>
          <w:p>
            <w:pPr>
              <w:jc w:val="center"/>
            </w:pPr>
            <w:pPr>
              <w:jc w:val="left"/>
              <w:spacing w:before="200"/>
              <w:pStyle w:val="ImageCaption"/>
            </w:pPr>
            <w:r>
              <w:t xml:space="preserve">Table 4.4: Rentes versées pour les parcelles exploitées</w:t>
            </w:r>
          </w:p>
          <w:bookmarkEnd w:id="271"/>
        </w:tc>
      </w:tr>
    </w:tbl>
    <w:bookmarkEnd w:id="272"/>
    <w:bookmarkStart w:id="274" w:name="sec-abandon"/>
    <w:p>
      <w:pPr>
        <w:pStyle w:val="Titre2"/>
      </w:pPr>
      <w:r>
        <w:t xml:space="preserve">4.5 Abandon de parcelles</w:t>
      </w:r>
    </w:p>
    <w:p>
      <w:pPr>
        <w:pStyle w:val="FirstParagraph"/>
      </w:pPr>
      <w:r>
        <w:t xml:space="preserve">L’abandon de la culture de certaines parcelles peut révéler des difficultés structurelles (dégradation des sols, problèmes d’irrigation, insécurité) ou conjoncturelles (manque de main-d’œuvre, coût des intrants) (</w:t>
      </w:r>
      <w:hyperlink w:anchor="tbl-abandon">
        <w:r>
          <w:rPr>
            <w:rStyle w:val="Lienhypertexte"/>
          </w:rPr>
          <w:t xml:space="preserve">Table 4.5</w:t>
        </w:r>
      </w:hyperlink>
      <w:r>
        <w:t xml:space="preserve">).</w:t>
      </w:r>
    </w:p>
    <w:p>
      <w:pPr>
        <w:pStyle w:val="Corpsdetexte"/>
      </w:pPr>
      <w:r>
        <w:rPr>
          <w:b/>
          <w:bCs/>
        </w:rPr>
        <w:t xml:space="preserve">Marovoay.</w:t>
      </w:r>
      <w:r>
        <w:t xml:space="preserve"> </w:t>
      </w:r>
      <w:r>
        <w:t xml:space="preserve">Cette pratique touche 16.8 % des ménages.</w:t>
      </w:r>
    </w:p>
    <w:tbl>
      <w:tblPr>
        <w:tblStyle w:val="Table"/>
        <w:tblW w:type="pct" w:w="5000"/>
        <w:tblLayout w:type="fixed"/>
        <w:tblLook w:firstRow="0" w:lastRow="0" w:firstColumn="0" w:lastColumn="0" w:noHBand="0" w:noVBand="0" w:val="0000"/>
      </w:tblPr>
      <w:tblGrid>
        <w:gridCol w:w="7920"/>
      </w:tblGrid>
      <w:tr>
        <w:tc>
          <w:tcPr/>
          <w:bookmarkStart w:id="273" w:name="tbl-abandon"/>
          <w:p>
            <w:pPr>
              <w:jc w:val="center"/>
            </w:pPr>
            <w:pPr>
              <w:jc w:val="left"/>
              <w:spacing w:before="200"/>
              <w:pStyle w:val="ImageCaption"/>
            </w:pPr>
            <w:r>
              <w:t xml:space="preserve">Table 4.5: Ménages ayant abandonné la culture de parcelles</w:t>
            </w:r>
          </w:p>
          <w:bookmarkEnd w:id="273"/>
        </w:tc>
      </w:tr>
    </w:tbl>
    <w:bookmarkEnd w:id="274"/>
    <w:bookmarkStart w:id="279" w:name="sec-satisfaction"/>
    <w:p>
      <w:pPr>
        <w:pStyle w:val="Titre2"/>
      </w:pPr>
      <w:r>
        <w:t xml:space="preserve">4.6 Satisfaction à l’égard de la surface possédée</w:t>
      </w:r>
    </w:p>
    <w:p>
      <w:pPr>
        <w:pStyle w:val="FirstParagraph"/>
      </w:pPr>
      <w:r>
        <w:t xml:space="preserve">Le jugement des ménages sur la suffisance de leur dotation foncière synthétise l’ensemble des contraintes analysées précédemment (</w:t>
      </w:r>
      <w:hyperlink w:anchor="fig-satisfaction">
        <w:r>
          <w:rPr>
            <w:rStyle w:val="Lienhypertexte"/>
          </w:rPr>
          <w:t xml:space="preserve">Figure 4.17</w:t>
        </w:r>
      </w:hyperlink>
      <w:r>
        <w:t xml:space="preserve">). Ce sentiment d’insuffisance foncière constitue un enjeu majeur pour les politiques de développement rural.</w:t>
      </w:r>
    </w:p>
    <w:p>
      <w:pPr>
        <w:pStyle w:val="Corpsdetexte"/>
      </w:pPr>
      <w:r>
        <w:rPr>
          <w:b/>
          <w:bCs/>
        </w:rPr>
        <w:t xml:space="preserve">Marovoay.</w:t>
      </w:r>
      <w:r>
        <w:t xml:space="preserve"> </w:t>
      </w:r>
      <w:r>
        <w:t xml:space="preserve">34.4 % des ménages jugent leur surface insuffisante ou très insuffisante. Seuls 65.5 % estiment leur dotation suffisante.</w:t>
      </w:r>
    </w:p>
    <w:tbl>
      <w:tblPr>
        <w:tblStyle w:val="Table"/>
        <w:tblW w:type="pct" w:w="5000"/>
        <w:tblLayout w:type="fixed"/>
        <w:tblLook w:firstRow="0" w:lastRow="0" w:firstColumn="0" w:lastColumn="0" w:noHBand="0" w:noVBand="0" w:val="0000"/>
      </w:tblPr>
      <w:tblGrid>
        <w:gridCol w:w="7920"/>
      </w:tblGrid>
      <w:tr>
        <w:tc>
          <w:tcPr/>
          <w:bookmarkStart w:id="278" w:name="fig-satisfaction"/>
          <w:p>
            <w:pPr>
              <w:jc w:val="center"/>
            </w:pPr>
            <w:pPr>
              <w:jc w:val="left"/>
              <w:spacing w:before="200"/>
              <w:pStyle w:val="ImageCaption"/>
            </w:pPr>
            <w:r>
              <w:t xml:space="preserve">Figure 4.17: Satisfaction des ménages par rapport à leur surface foncière</w:t>
            </w:r>
          </w:p>
          <w:p>
            <w:pPr>
              <w:pStyle w:val="Compact"/>
              <w:jc w:val="center"/>
            </w:pPr>
            <w:r>
              <w:drawing>
                <wp:inline>
                  <wp:extent cx="5969000" cy="3316111"/>
                  <wp:effectExtent b="0" l="0" r="0" t="0"/>
                  <wp:docPr descr="" title="" id="276" name="Picture"/>
                  <a:graphic>
                    <a:graphicData uri="http://schemas.openxmlformats.org/drawingml/2006/picture">
                      <pic:pic>
                        <pic:nvPicPr>
                          <pic:cNvPr descr="04_foncier_files/figure-docx/fig-satisfaction-1.png" id="277" name="Picture"/>
                          <pic:cNvPicPr>
                            <a:picLocks noChangeArrowheads="1" noChangeAspect="1"/>
                          </pic:cNvPicPr>
                        </pic:nvPicPr>
                        <pic:blipFill>
                          <a:blip r:embed="rId275"/>
                          <a:stretch>
                            <a:fillRect/>
                          </a:stretch>
                        </pic:blipFill>
                        <pic:spPr bwMode="auto">
                          <a:xfrm>
                            <a:off x="0" y="0"/>
                            <a:ext cx="5969000" cy="3316111"/>
                          </a:xfrm>
                          <a:prstGeom prst="rect">
                            <a:avLst/>
                          </a:prstGeom>
                          <a:noFill/>
                          <a:ln w="9525">
                            <a:noFill/>
                            <a:headEnd/>
                            <a:tailEnd/>
                          </a:ln>
                        </pic:spPr>
                      </pic:pic>
                    </a:graphicData>
                  </a:graphic>
                </wp:inline>
              </w:drawing>
            </w:r>
          </w:p>
          <w:bookmarkEnd w:id="278"/>
        </w:tc>
      </w:tr>
    </w:tbl>
    <w:bookmarkEnd w:id="279"/>
    <w:bookmarkEnd w:id="280"/>
    <w:bookmarkStart w:id="422" w:name="agriculture-élevage-et-pêche"/>
    <w:p>
      <w:pPr>
        <w:pStyle w:val="Titre1"/>
      </w:pPr>
      <w:r>
        <w:t xml:space="preserve">5. Agriculture, élevage et pêche</w:t>
      </w:r>
    </w:p>
    <w:p>
      <w:pPr>
        <w:pStyle w:val="FirstParagraph"/>
      </w:pPr>
      <w:r>
        <w:t xml:space="preserve">Ce chapitre analyse les activités agricoles, d’élevage, de chasse et de pêche des ménages des deux observatoires. Le chapitre sur les revenus présente déjà les contributions de ces activités au revenu total ; ici nous nous intéressons aux pratiques, aux facteurs de production et aux performances.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281" name="Picture"/>
                  <a:graphic>
                    <a:graphicData uri="http://schemas.openxmlformats.org/drawingml/2006/picture">
                      <pic:pic>
                        <pic:nvPicPr>
                          <pic:cNvPr descr="C:\Users\fbede\AppData\Local\Programs\Quarto\share\formats\docx\warning.png" id="282"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375" w:name="sec-agriculture"/>
    <w:p>
      <w:pPr>
        <w:pStyle w:val="Titre2"/>
      </w:pPr>
      <w:r>
        <w:t xml:space="preserve">5.1 Agriculture</w:t>
      </w:r>
    </w:p>
    <w:bookmarkStart w:id="344" w:name="sec-riziculture"/>
    <w:p>
      <w:pPr>
        <w:pStyle w:val="Titre3"/>
      </w:pPr>
      <w:r>
        <w:t xml:space="preserve">5.1.1 Riziculture</w:t>
      </w:r>
    </w:p>
    <w:p>
      <w:pPr>
        <w:pStyle w:val="FirstParagraph"/>
      </w:pPr>
      <w:r>
        <w:t xml:space="preserve">La riziculture est l’activité agricole dominante dans les deux observatoires.</w:t>
      </w:r>
    </w:p>
    <w:p>
      <w:pPr>
        <w:pStyle w:val="Corpsdetexte"/>
      </w:pPr>
      <w:r>
        <w:t xml:space="preserve">A Marovoay, 73.6 % des ménages pratiquent la riziculture. Les riziculteurs exploitent en moyenne 1.7 parcelles (superficie moyenne de 68 ares).</w:t>
      </w:r>
    </w:p>
    <w:tbl>
      <w:tblPr>
        <w:tblStyle w:val="Table"/>
        <w:tblW w:type="pct" w:w="5000"/>
        <w:tblLayout w:type="fixed"/>
        <w:tblLook w:firstRow="0" w:lastRow="0" w:firstColumn="0" w:lastColumn="0" w:noHBand="0" w:noVBand="0" w:val="0000"/>
      </w:tblPr>
      <w:tblGrid>
        <w:gridCol w:w="7920"/>
      </w:tblGrid>
      <w:tr>
        <w:tc>
          <w:tcPr/>
          <w:bookmarkStart w:id="283" w:name="tbl-pratique-riz"/>
          <w:p>
            <w:pPr>
              <w:jc w:val="center"/>
            </w:pPr>
            <w:pPr>
              <w:jc w:val="left"/>
              <w:spacing w:before="200"/>
              <w:pStyle w:val="ImageCaption"/>
            </w:pPr>
            <w:r>
              <w:t xml:space="preserve">Table 5.1: Pratique de la riziculture par observatoire (% des ménages)</w:t>
            </w:r>
          </w:p>
          <w:bookmarkEnd w:id="283"/>
        </w:tc>
      </w:tr>
    </w:tbl>
    <w:bookmarkStart w:id="292" w:name="mode-de-faire-valoir-et-accès-à-leau"/>
    <w:p>
      <w:pPr>
        <w:pStyle w:val="Titre4"/>
      </w:pPr>
      <w:r>
        <w:t xml:space="preserve">5.1.1.1 Mode de faire valoir et accès à l’eau</w:t>
      </w:r>
    </w:p>
    <w:p>
      <w:pPr>
        <w:pStyle w:val="FirstParagraph"/>
      </w:pPr>
      <w:r>
        <w:t xml:space="preserve">La location et le métayage, qui témoignent d’un marché foncier actif, sont plus ou moins répandus selon l’observatoire.</w:t>
      </w:r>
    </w:p>
    <w:p>
      <w:pPr>
        <w:pStyle w:val="Corpsdetexte"/>
      </w:pPr>
      <w:r>
        <w:t xml:space="preserve">A Marovoay, le mode de faire valoir dominant est le faire valoir direct (46.5 % des parcelles).</w:t>
      </w:r>
    </w:p>
    <w:tbl>
      <w:tblPr>
        <w:tblStyle w:val="Table"/>
        <w:tblW w:type="pct" w:w="5000"/>
        <w:tblLayout w:type="fixed"/>
        <w:tblLook w:firstRow="0" w:lastRow="0" w:firstColumn="0" w:lastColumn="0" w:noHBand="0" w:noVBand="0" w:val="0000"/>
      </w:tblPr>
      <w:tblGrid>
        <w:gridCol w:w="7920"/>
      </w:tblGrid>
      <w:tr>
        <w:tc>
          <w:tcPr/>
          <w:bookmarkStart w:id="287" w:name="fig-tenure-riz"/>
          <w:p>
            <w:pPr>
              <w:jc w:val="center"/>
            </w:pPr>
            <w:pPr>
              <w:jc w:val="left"/>
              <w:spacing w:before="200"/>
              <w:pStyle w:val="ImageCaption"/>
            </w:pPr>
            <w:r>
              <w:t xml:space="preserve">Figure 5.1: Mode de faire valoir des parcelles rizicoles par observatoire</w:t>
            </w:r>
          </w:p>
          <w:p>
            <w:pPr>
              <w:pStyle w:val="Compact"/>
              <w:jc w:val="center"/>
            </w:pPr>
            <w:r>
              <w:drawing>
                <wp:inline>
                  <wp:extent cx="5969000" cy="6632222"/>
                  <wp:effectExtent b="0" l="0" r="0" t="0"/>
                  <wp:docPr descr="" title="" id="285" name="Picture"/>
                  <a:graphic>
                    <a:graphicData uri="http://schemas.openxmlformats.org/drawingml/2006/picture">
                      <pic:pic>
                        <pic:nvPicPr>
                          <pic:cNvPr descr="05_agriculture_files/figure-docx/fig-tenure-riz-1.png" id="286" name="Picture"/>
                          <pic:cNvPicPr>
                            <a:picLocks noChangeArrowheads="1" noChangeAspect="1"/>
                          </pic:cNvPicPr>
                        </pic:nvPicPr>
                        <pic:blipFill>
                          <a:blip r:embed="rId284"/>
                          <a:stretch>
                            <a:fillRect/>
                          </a:stretch>
                        </pic:blipFill>
                        <pic:spPr bwMode="auto">
                          <a:xfrm>
                            <a:off x="0" y="0"/>
                            <a:ext cx="5969000" cy="6632222"/>
                          </a:xfrm>
                          <a:prstGeom prst="rect">
                            <a:avLst/>
                          </a:prstGeom>
                          <a:noFill/>
                          <a:ln w="9525">
                            <a:noFill/>
                            <a:headEnd/>
                            <a:tailEnd/>
                          </a:ln>
                        </pic:spPr>
                      </pic:pic>
                    </a:graphicData>
                  </a:graphic>
                </wp:inline>
              </w:drawing>
            </w:r>
          </w:p>
          <w:bookmarkEnd w:id="287"/>
        </w:tc>
      </w:tr>
    </w:tbl>
    <w:p>
      <w:pPr>
        <w:pStyle w:val="Corpsdetexte"/>
      </w:pPr>
      <w:r>
        <w:t xml:space="preserve">La gestion de l’eau est un enjeu central de la riziculture.</w:t>
      </w:r>
    </w:p>
    <w:tbl>
      <w:tblPr>
        <w:tblStyle w:val="Table"/>
        <w:tblW w:type="pct" w:w="5000"/>
        <w:tblLayout w:type="fixed"/>
        <w:tblLook w:firstRow="0" w:lastRow="0" w:firstColumn="0" w:lastColumn="0" w:noHBand="0" w:noVBand="0" w:val="0000"/>
      </w:tblPr>
      <w:tblGrid>
        <w:gridCol w:w="7920"/>
      </w:tblGrid>
      <w:tr>
        <w:tc>
          <w:tcPr/>
          <w:bookmarkStart w:id="291" w:name="fig-eau-riz"/>
          <w:p>
            <w:pPr>
              <w:jc w:val="center"/>
            </w:pPr>
            <w:pPr>
              <w:jc w:val="left"/>
              <w:spacing w:before="200"/>
              <w:pStyle w:val="ImageCaption"/>
            </w:pPr>
            <w:r>
              <w:t xml:space="preserve">Figure 5.2: Problèmes de maîtrise de l’eau sur les parcelles rizicoles</w:t>
            </w:r>
          </w:p>
          <w:p>
            <w:pPr>
              <w:pStyle w:val="Compact"/>
              <w:jc w:val="center"/>
            </w:pPr>
            <w:r>
              <w:drawing>
                <wp:inline>
                  <wp:extent cx="5969000" cy="6632222"/>
                  <wp:effectExtent b="0" l="0" r="0" t="0"/>
                  <wp:docPr descr="" title="" id="289" name="Picture"/>
                  <a:graphic>
                    <a:graphicData uri="http://schemas.openxmlformats.org/drawingml/2006/picture">
                      <pic:pic>
                        <pic:nvPicPr>
                          <pic:cNvPr descr="05_agriculture_files/figure-docx/fig-eau-riz-1.png" id="290" name="Picture"/>
                          <pic:cNvPicPr>
                            <a:picLocks noChangeArrowheads="1" noChangeAspect="1"/>
                          </pic:cNvPicPr>
                        </pic:nvPicPr>
                        <pic:blipFill>
                          <a:blip r:embed="rId288"/>
                          <a:stretch>
                            <a:fillRect/>
                          </a:stretch>
                        </pic:blipFill>
                        <pic:spPr bwMode="auto">
                          <a:xfrm>
                            <a:off x="0" y="0"/>
                            <a:ext cx="5969000" cy="6632222"/>
                          </a:xfrm>
                          <a:prstGeom prst="rect">
                            <a:avLst/>
                          </a:prstGeom>
                          <a:noFill/>
                          <a:ln w="9525">
                            <a:noFill/>
                            <a:headEnd/>
                            <a:tailEnd/>
                          </a:ln>
                        </pic:spPr>
                      </pic:pic>
                    </a:graphicData>
                  </a:graphic>
                </wp:inline>
              </w:drawing>
            </w:r>
          </w:p>
          <w:bookmarkEnd w:id="291"/>
        </w:tc>
      </w:tr>
    </w:tbl>
    <w:bookmarkEnd w:id="292"/>
    <w:bookmarkStart w:id="304" w:name="techniques-culturales-et-intrants"/>
    <w:p>
      <w:pPr>
        <w:pStyle w:val="Titre4"/>
      </w:pPr>
      <w:r>
        <w:t xml:space="preserve">5.1.1.2 Techniques culturales et intrants</w:t>
      </w:r>
    </w:p>
    <w:p>
      <w:pPr>
        <w:pStyle w:val="FirstParagraph"/>
      </w:pPr>
      <w:r>
        <w:t xml:space="preserve">Le choix de la technique est étroitement lié aux conditions hydrologiques, à la topographie et à l’accès aux intrants.</w:t>
      </w:r>
    </w:p>
    <w:p>
      <w:pPr>
        <w:pStyle w:val="Corpsdetexte"/>
      </w:pPr>
      <w:r>
        <w:t xml:space="preserve">A Marovoay, la technique culturale prédominante est le repiquage traditionnel (97 % des parcelles).</w:t>
      </w:r>
    </w:p>
    <w:tbl>
      <w:tblPr>
        <w:tblStyle w:val="Table"/>
        <w:tblW w:type="pct" w:w="5000"/>
        <w:tblLayout w:type="fixed"/>
        <w:tblLook w:firstRow="0" w:lastRow="0" w:firstColumn="0" w:lastColumn="0" w:noHBand="0" w:noVBand="0" w:val="0000"/>
      </w:tblPr>
      <w:tblGrid>
        <w:gridCol w:w="7920"/>
      </w:tblGrid>
      <w:tr>
        <w:tc>
          <w:tcPr/>
          <w:bookmarkStart w:id="296" w:name="fig-technique-riz"/>
          <w:p>
            <w:pPr>
              <w:jc w:val="center"/>
            </w:pPr>
            <w:pPr>
              <w:jc w:val="left"/>
              <w:spacing w:before="200"/>
              <w:pStyle w:val="ImageCaption"/>
            </w:pPr>
            <w:r>
              <w:t xml:space="preserve">Figure 5.3: Technique de culture rizicole par observatoire</w:t>
            </w:r>
          </w:p>
          <w:p>
            <w:pPr>
              <w:pStyle w:val="Compact"/>
              <w:jc w:val="center"/>
            </w:pPr>
            <w:r>
              <w:drawing>
                <wp:inline>
                  <wp:extent cx="5969000" cy="6632222"/>
                  <wp:effectExtent b="0" l="0" r="0" t="0"/>
                  <wp:docPr descr="" title="" id="294" name="Picture"/>
                  <a:graphic>
                    <a:graphicData uri="http://schemas.openxmlformats.org/drawingml/2006/picture">
                      <pic:pic>
                        <pic:nvPicPr>
                          <pic:cNvPr descr="05_agriculture_files/figure-docx/fig-technique-riz-1.png" id="295" name="Picture"/>
                          <pic:cNvPicPr>
                            <a:picLocks noChangeArrowheads="1" noChangeAspect="1"/>
                          </pic:cNvPicPr>
                        </pic:nvPicPr>
                        <pic:blipFill>
                          <a:blip r:embed="rId293"/>
                          <a:stretch>
                            <a:fillRect/>
                          </a:stretch>
                        </pic:blipFill>
                        <pic:spPr bwMode="auto">
                          <a:xfrm>
                            <a:off x="0" y="0"/>
                            <a:ext cx="5969000" cy="6632222"/>
                          </a:xfrm>
                          <a:prstGeom prst="rect">
                            <a:avLst/>
                          </a:prstGeom>
                          <a:noFill/>
                          <a:ln w="9525">
                            <a:noFill/>
                            <a:headEnd/>
                            <a:tailEnd/>
                          </a:ln>
                        </pic:spPr>
                      </pic:pic>
                    </a:graphicData>
                  </a:graphic>
                </wp:inline>
              </w:drawing>
            </w:r>
          </w:p>
          <w:bookmarkEnd w:id="296"/>
        </w:tc>
      </w:tr>
    </w:tbl>
    <w:tbl>
      <w:tblPr>
        <w:tblStyle w:val="Table"/>
        <w:tblW w:type="pct" w:w="5000"/>
        <w:tblLayout w:type="fixed"/>
        <w:tblLook w:firstRow="0" w:lastRow="0" w:firstColumn="0" w:lastColumn="0" w:noHBand="0" w:noVBand="0" w:val="0000"/>
      </w:tblPr>
      <w:tblGrid>
        <w:gridCol w:w="7920"/>
      </w:tblGrid>
      <w:tr>
        <w:tc>
          <w:tcPr/>
          <w:bookmarkStart w:id="300" w:name="fig-engrais-riz"/>
          <w:p>
            <w:pPr>
              <w:jc w:val="center"/>
            </w:pPr>
            <w:pPr>
              <w:jc w:val="left"/>
              <w:spacing w:before="200"/>
              <w:pStyle w:val="ImageCaption"/>
            </w:pPr>
            <w:r>
              <w:t xml:space="preserve">Figure 5.4: Utilisation d’engrais sur les parcelles rizicoles</w:t>
            </w:r>
          </w:p>
          <w:p>
            <w:pPr>
              <w:pStyle w:val="Compact"/>
              <w:jc w:val="center"/>
            </w:pPr>
            <w:r>
              <w:drawing>
                <wp:inline>
                  <wp:extent cx="5969000" cy="5969000"/>
                  <wp:effectExtent b="0" l="0" r="0" t="0"/>
                  <wp:docPr descr="" title="" id="298" name="Picture"/>
                  <a:graphic>
                    <a:graphicData uri="http://schemas.openxmlformats.org/drawingml/2006/picture">
                      <pic:pic>
                        <pic:nvPicPr>
                          <pic:cNvPr descr="05_agriculture_files/figure-docx/fig-engrais-riz-1.png" id="299" name="Picture"/>
                          <pic:cNvPicPr>
                            <a:picLocks noChangeArrowheads="1" noChangeAspect="1"/>
                          </pic:cNvPicPr>
                        </pic:nvPicPr>
                        <pic:blipFill>
                          <a:blip r:embed="rId297"/>
                          <a:stretch>
                            <a:fillRect/>
                          </a:stretch>
                        </pic:blipFill>
                        <pic:spPr bwMode="auto">
                          <a:xfrm>
                            <a:off x="0" y="0"/>
                            <a:ext cx="5969000" cy="5969000"/>
                          </a:xfrm>
                          <a:prstGeom prst="rect">
                            <a:avLst/>
                          </a:prstGeom>
                          <a:noFill/>
                          <a:ln w="9525">
                            <a:noFill/>
                            <a:headEnd/>
                            <a:tailEnd/>
                          </a:ln>
                        </pic:spPr>
                      </pic:pic>
                    </a:graphicData>
                  </a:graphic>
                </wp:inline>
              </w:drawing>
            </w:r>
          </w:p>
          <w:bookmarkEnd w:id="300"/>
        </w:tc>
      </w:tr>
    </w:tbl>
    <w:p>
      <w:pPr>
        <w:pStyle w:val="CaptionedFigure"/>
      </w:pPr>
      <w:r>
        <w:drawing>
          <wp:inline>
            <wp:extent cx="4620126" cy="9240252"/>
            <wp:effectExtent b="0" l="0" r="0" t="0"/>
            <wp:docPr descr="Mode de travail du sol sur les parcelles rizicoles" title="" id="302" name="Picture"/>
            <a:graphic>
              <a:graphicData uri="http://schemas.openxmlformats.org/drawingml/2006/picture">
                <pic:pic>
                  <pic:nvPicPr>
                    <pic:cNvPr descr="05_agriculture_files/figure-docx/fig_semences_labour-1.png" id="303" name="Picture"/>
                    <pic:cNvPicPr>
                      <a:picLocks noChangeArrowheads="1" noChangeAspect="1"/>
                    </pic:cNvPicPr>
                  </pic:nvPicPr>
                  <pic:blipFill>
                    <a:blip r:embed="rId301"/>
                    <a:stretch>
                      <a:fillRect/>
                    </a:stretch>
                  </pic:blipFill>
                  <pic:spPr bwMode="auto">
                    <a:xfrm>
                      <a:off x="0" y="0"/>
                      <a:ext cx="4620126" cy="9240252"/>
                    </a:xfrm>
                    <a:prstGeom prst="rect">
                      <a:avLst/>
                    </a:prstGeom>
                    <a:noFill/>
                    <a:ln w="9525">
                      <a:noFill/>
                      <a:headEnd/>
                      <a:tailEnd/>
                    </a:ln>
                  </pic:spPr>
                </pic:pic>
              </a:graphicData>
            </a:graphic>
          </wp:inline>
        </w:drawing>
      </w:r>
    </w:p>
    <w:p>
      <w:pPr>
        <w:pStyle w:val="ImageCaption"/>
      </w:pPr>
      <w:r>
        <w:t xml:space="preserve">Mode de travail du sol sur les parcelles rizicoles</w:t>
      </w:r>
    </w:p>
    <w:bookmarkEnd w:id="304"/>
    <w:bookmarkStart w:id="316" w:name="rendements-et-production"/>
    <w:p>
      <w:pPr>
        <w:pStyle w:val="Titre4"/>
      </w:pPr>
      <w:r>
        <w:t xml:space="preserve">5.1.1.3 Rendements et production</w:t>
      </w:r>
    </w:p>
    <w:p>
      <w:pPr>
        <w:pStyle w:val="FirstParagraph"/>
      </w:pPr>
      <w:r>
        <w:t xml:space="preserve">Le rendement rizicole reflète à la fois les conditions agro-écologiques locales et le degré d’intensification des pratiques.</w:t>
      </w:r>
    </w:p>
    <w:p>
      <w:pPr>
        <w:pStyle w:val="Corpsdetexte"/>
      </w:pPr>
      <w:r>
        <w:t xml:space="preserve">A Marovoay, le rendement rizicole médian s’établit à 1.2 t/ha (hors 5 % des valeurs extrêmes).</w:t>
      </w:r>
    </w:p>
    <w:p>
      <w:pPr>
        <w:pStyle w:val="CaptionedFigure"/>
      </w:pPr>
      <w:r>
        <w:drawing>
          <wp:inline>
            <wp:extent cx="4620126" cy="3696101"/>
            <wp:effectExtent b="0" l="0" r="0" t="0"/>
            <wp:docPr descr="Perception des rendements rizicoles" title="" id="306" name="Picture"/>
            <a:graphic>
              <a:graphicData uri="http://schemas.openxmlformats.org/drawingml/2006/picture">
                <pic:pic>
                  <pic:nvPicPr>
                    <pic:cNvPr descr="05_agriculture_files/figure-docx/fig_rendement_perception-1.png" id="307" name="Picture"/>
                    <pic:cNvPicPr>
                      <a:picLocks noChangeArrowheads="1" noChangeAspect="1"/>
                    </pic:cNvPicPr>
                  </pic:nvPicPr>
                  <pic:blipFill>
                    <a:blip r:embed="rId305"/>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Perception des rendements rizicoles</w:t>
      </w:r>
    </w:p>
    <w:tbl>
      <w:tblPr>
        <w:tblStyle w:val="Table"/>
        <w:tblW w:type="pct" w:w="5000"/>
        <w:tblLayout w:type="fixed"/>
        <w:tblLook w:firstRow="0" w:lastRow="0" w:firstColumn="0" w:lastColumn="0" w:noHBand="0" w:noVBand="0" w:val="0000"/>
      </w:tblPr>
      <w:tblGrid>
        <w:gridCol w:w="7920"/>
      </w:tblGrid>
      <w:tr>
        <w:tc>
          <w:tcPr/>
          <w:bookmarkStart w:id="311" w:name="fig-rendement-riz-tha"/>
          <w:p>
            <w:pPr>
              <w:jc w:val="center"/>
            </w:pPr>
            <w:pPr>
              <w:jc w:val="left"/>
              <w:spacing w:before="200"/>
              <w:pStyle w:val="ImageCaption"/>
            </w:pPr>
            <w:r>
              <w:t xml:space="preserve">Figure 5.5: Distribution des rendements rizicoles (t/ha) par observatoire</w:t>
            </w:r>
          </w:p>
          <w:p>
            <w:pPr>
              <w:pStyle w:val="Compact"/>
              <w:jc w:val="center"/>
            </w:pPr>
            <w:r>
              <w:drawing>
                <wp:inline>
                  <wp:extent cx="5969000" cy="3316111"/>
                  <wp:effectExtent b="0" l="0" r="0" t="0"/>
                  <wp:docPr descr="" title="" id="309" name="Picture"/>
                  <a:graphic>
                    <a:graphicData uri="http://schemas.openxmlformats.org/drawingml/2006/picture">
                      <pic:pic>
                        <pic:nvPicPr>
                          <pic:cNvPr descr="05_agriculture_files/figure-docx/fig-rendement-riz-tha-1.png" id="310" name="Picture"/>
                          <pic:cNvPicPr>
                            <a:picLocks noChangeArrowheads="1" noChangeAspect="1"/>
                          </pic:cNvPicPr>
                        </pic:nvPicPr>
                        <pic:blipFill>
                          <a:blip r:embed="rId308"/>
                          <a:stretch>
                            <a:fillRect/>
                          </a:stretch>
                        </pic:blipFill>
                        <pic:spPr bwMode="auto">
                          <a:xfrm>
                            <a:off x="0" y="0"/>
                            <a:ext cx="5969000" cy="3316111"/>
                          </a:xfrm>
                          <a:prstGeom prst="rect">
                            <a:avLst/>
                          </a:prstGeom>
                          <a:noFill/>
                          <a:ln w="9525">
                            <a:noFill/>
                            <a:headEnd/>
                            <a:tailEnd/>
                          </a:ln>
                        </pic:spPr>
                      </pic:pic>
                    </a:graphicData>
                  </a:graphic>
                </wp:inline>
              </w:drawing>
            </w:r>
          </w:p>
          <w:bookmarkEnd w:id="311"/>
        </w:tc>
      </w:tr>
    </w:tbl>
    <w:tbl>
      <w:tblPr>
        <w:tblStyle w:val="Table"/>
        <w:tblW w:type="pct" w:w="5000"/>
        <w:tblLayout w:type="fixed"/>
        <w:tblLook w:firstRow="0" w:lastRow="0" w:firstColumn="0" w:lastColumn="0" w:noHBand="0" w:noVBand="0" w:val="0000"/>
      </w:tblPr>
      <w:tblGrid>
        <w:gridCol w:w="7920"/>
      </w:tblGrid>
      <w:tr>
        <w:tc>
          <w:tcPr/>
          <w:bookmarkStart w:id="315" w:name="fig-production-riz"/>
          <w:p>
            <w:pPr>
              <w:jc w:val="center"/>
            </w:pPr>
            <w:pPr>
              <w:jc w:val="left"/>
              <w:spacing w:before="200"/>
              <w:pStyle w:val="ImageCaption"/>
            </w:pPr>
            <w:r>
              <w:t xml:space="preserve">Figure 5.6: Distribution de la production de paddy par parcelle (kg)</w:t>
            </w:r>
          </w:p>
          <w:p>
            <w:pPr>
              <w:pStyle w:val="Compact"/>
              <w:jc w:val="center"/>
            </w:pPr>
            <w:r>
              <w:drawing>
                <wp:inline>
                  <wp:extent cx="5969000" cy="3730624"/>
                  <wp:effectExtent b="0" l="0" r="0" t="0"/>
                  <wp:docPr descr="" title="" id="313" name="Picture"/>
                  <a:graphic>
                    <a:graphicData uri="http://schemas.openxmlformats.org/drawingml/2006/picture">
                      <pic:pic>
                        <pic:nvPicPr>
                          <pic:cNvPr descr="05_agriculture_files/figure-docx/fig-production-riz-1.png" id="314" name="Picture"/>
                          <pic:cNvPicPr>
                            <a:picLocks noChangeArrowheads="1" noChangeAspect="1"/>
                          </pic:cNvPicPr>
                        </pic:nvPicPr>
                        <pic:blipFill>
                          <a:blip r:embed="rId312"/>
                          <a:stretch>
                            <a:fillRect/>
                          </a:stretch>
                        </pic:blipFill>
                        <pic:spPr bwMode="auto">
                          <a:xfrm>
                            <a:off x="0" y="0"/>
                            <a:ext cx="5969000" cy="3730624"/>
                          </a:xfrm>
                          <a:prstGeom prst="rect">
                            <a:avLst/>
                          </a:prstGeom>
                          <a:noFill/>
                          <a:ln w="9525">
                            <a:noFill/>
                            <a:headEnd/>
                            <a:tailEnd/>
                          </a:ln>
                        </pic:spPr>
                      </pic:pic>
                    </a:graphicData>
                  </a:graphic>
                </wp:inline>
              </w:drawing>
            </w:r>
          </w:p>
          <w:bookmarkEnd w:id="315"/>
        </w:tc>
      </w:tr>
    </w:tbl>
    <w:bookmarkEnd w:id="316"/>
    <w:bookmarkStart w:id="329" w:name="topographie-et-saison-de-culture"/>
    <w:p>
      <w:pPr>
        <w:pStyle w:val="Titre4"/>
      </w:pPr>
      <w:r>
        <w:t xml:space="preserve">5.1.1.4 Topographie et saison de culture</w:t>
      </w:r>
    </w:p>
    <w:p>
      <w:pPr>
        <w:pStyle w:val="FirstParagraph"/>
      </w:pPr>
      <w:r>
        <w:t xml:space="preserve">La position topographique de la parcelle (bas-fond, plaine, tanety) détermine en grande partie les possibilités de maîtrise de l’eau et le calendrier cultural. La répartition des saisons de culture reflète les stratégies d’adaptation des riziculteurs à la variabilité pluviométrique.</w:t>
      </w:r>
    </w:p>
    <w:tbl>
      <w:tblPr>
        <w:tblStyle w:val="Table"/>
        <w:tblW w:type="pct" w:w="5000"/>
        <w:tblLayout w:type="fixed"/>
        <w:tblLook w:firstRow="0" w:lastRow="0" w:firstColumn="0" w:lastColumn="0" w:noHBand="0" w:noVBand="0" w:val="0000"/>
      </w:tblPr>
      <w:tblGrid>
        <w:gridCol w:w="7920"/>
      </w:tblGrid>
      <w:tr>
        <w:tc>
          <w:tcPr/>
          <w:bookmarkStart w:id="320" w:name="fig-topographie-riz"/>
          <w:p>
            <w:pPr>
              <w:jc w:val="center"/>
            </w:pPr>
            <w:pPr>
              <w:jc w:val="left"/>
              <w:spacing w:before="200"/>
              <w:pStyle w:val="ImageCaption"/>
            </w:pPr>
            <w:r>
              <w:t xml:space="preserve">Figure 5.7: Topographie des parcelles rizicoles</w:t>
            </w:r>
          </w:p>
          <w:p>
            <w:pPr>
              <w:pStyle w:val="Compact"/>
              <w:jc w:val="center"/>
            </w:pPr>
            <w:r>
              <w:drawing>
                <wp:inline>
                  <wp:extent cx="5969000" cy="5969000"/>
                  <wp:effectExtent b="0" l="0" r="0" t="0"/>
                  <wp:docPr descr="" title="" id="318" name="Picture"/>
                  <a:graphic>
                    <a:graphicData uri="http://schemas.openxmlformats.org/drawingml/2006/picture">
                      <pic:pic>
                        <pic:nvPicPr>
                          <pic:cNvPr descr="05_agriculture_files/figure-docx/fig-topographie-riz-1.png" id="319" name="Picture"/>
                          <pic:cNvPicPr>
                            <a:picLocks noChangeArrowheads="1" noChangeAspect="1"/>
                          </pic:cNvPicPr>
                        </pic:nvPicPr>
                        <pic:blipFill>
                          <a:blip r:embed="rId317"/>
                          <a:stretch>
                            <a:fillRect/>
                          </a:stretch>
                        </pic:blipFill>
                        <pic:spPr bwMode="auto">
                          <a:xfrm>
                            <a:off x="0" y="0"/>
                            <a:ext cx="5969000" cy="5969000"/>
                          </a:xfrm>
                          <a:prstGeom prst="rect">
                            <a:avLst/>
                          </a:prstGeom>
                          <a:noFill/>
                          <a:ln w="9525">
                            <a:noFill/>
                            <a:headEnd/>
                            <a:tailEnd/>
                          </a:ln>
                        </pic:spPr>
                      </pic:pic>
                    </a:graphicData>
                  </a:graphic>
                </wp:inline>
              </w:drawing>
            </w:r>
          </w:p>
          <w:bookmarkEnd w:id="320"/>
        </w:tc>
      </w:tr>
    </w:tbl>
    <w:tbl>
      <w:tblPr>
        <w:tblStyle w:val="Table"/>
        <w:tblW w:type="pct" w:w="5000"/>
        <w:tblLayout w:type="fixed"/>
        <w:tblLook w:firstRow="0" w:lastRow="0" w:firstColumn="0" w:lastColumn="0" w:noHBand="0" w:noVBand="0" w:val="0000"/>
      </w:tblPr>
      <w:tblGrid>
        <w:gridCol w:w="7920"/>
      </w:tblGrid>
      <w:tr>
        <w:tc>
          <w:tcPr/>
          <w:bookmarkStart w:id="324" w:name="fig-saison-riz"/>
          <w:p>
            <w:pPr>
              <w:jc w:val="center"/>
            </w:pPr>
            <w:pPr>
              <w:jc w:val="left"/>
              <w:spacing w:before="200"/>
              <w:pStyle w:val="ImageCaption"/>
            </w:pPr>
            <w:r>
              <w:t xml:space="preserve">Figure 5.8: Saison de culture rizicole</w:t>
            </w:r>
          </w:p>
          <w:p>
            <w:pPr>
              <w:pStyle w:val="Compact"/>
              <w:jc w:val="center"/>
            </w:pPr>
            <w:r>
              <w:drawing>
                <wp:inline>
                  <wp:extent cx="5969000" cy="2984500"/>
                  <wp:effectExtent b="0" l="0" r="0" t="0"/>
                  <wp:docPr descr="" title="" id="322" name="Picture"/>
                  <a:graphic>
                    <a:graphicData uri="http://schemas.openxmlformats.org/drawingml/2006/picture">
                      <pic:pic>
                        <pic:nvPicPr>
                          <pic:cNvPr descr="05_agriculture_files/figure-docx/fig-saison-riz-1.png" id="323" name="Picture"/>
                          <pic:cNvPicPr>
                            <a:picLocks noChangeArrowheads="1" noChangeAspect="1"/>
                          </pic:cNvPicPr>
                        </pic:nvPicPr>
                        <pic:blipFill>
                          <a:blip r:embed="rId321"/>
                          <a:stretch>
                            <a:fillRect/>
                          </a:stretch>
                        </pic:blipFill>
                        <pic:spPr bwMode="auto">
                          <a:xfrm>
                            <a:off x="0" y="0"/>
                            <a:ext cx="5969000" cy="2984500"/>
                          </a:xfrm>
                          <a:prstGeom prst="rect">
                            <a:avLst/>
                          </a:prstGeom>
                          <a:noFill/>
                          <a:ln w="9525">
                            <a:noFill/>
                            <a:headEnd/>
                            <a:tailEnd/>
                          </a:ln>
                        </pic:spPr>
                      </pic:pic>
                    </a:graphicData>
                  </a:graphic>
                </wp:inline>
              </w:drawing>
            </w:r>
          </w:p>
          <w:bookmarkEnd w:id="324"/>
        </w:tc>
      </w:tr>
    </w:tbl>
    <w:tbl>
      <w:tblPr>
        <w:tblStyle w:val="Table"/>
        <w:tblW w:type="pct" w:w="5000"/>
        <w:tblLayout w:type="fixed"/>
        <w:tblLook w:firstRow="0" w:lastRow="0" w:firstColumn="0" w:lastColumn="0" w:noHBand="0" w:noVBand="0" w:val="0000"/>
      </w:tblPr>
      <w:tblGrid>
        <w:gridCol w:w="7920"/>
      </w:tblGrid>
      <w:tr>
        <w:tc>
          <w:tcPr/>
          <w:bookmarkStart w:id="328" w:name="fig-origine-semence"/>
          <w:p>
            <w:pPr>
              <w:jc w:val="center"/>
            </w:pPr>
            <w:pPr>
              <w:jc w:val="left"/>
              <w:spacing w:before="200"/>
              <w:pStyle w:val="ImageCaption"/>
            </w:pPr>
            <w:r>
              <w:t xml:space="preserve">Figure 5.9: Origine des semences de riz</w:t>
            </w:r>
          </w:p>
          <w:p>
            <w:pPr>
              <w:pStyle w:val="Compact"/>
              <w:jc w:val="center"/>
            </w:pPr>
            <w:r>
              <w:drawing>
                <wp:inline>
                  <wp:extent cx="5969000" cy="5969000"/>
                  <wp:effectExtent b="0" l="0" r="0" t="0"/>
                  <wp:docPr descr="" title="" id="326" name="Picture"/>
                  <a:graphic>
                    <a:graphicData uri="http://schemas.openxmlformats.org/drawingml/2006/picture">
                      <pic:pic>
                        <pic:nvPicPr>
                          <pic:cNvPr descr="05_agriculture_files/figure-docx/fig-origine-semence-1.png" id="327" name="Picture"/>
                          <pic:cNvPicPr>
                            <a:picLocks noChangeArrowheads="1" noChangeAspect="1"/>
                          </pic:cNvPicPr>
                        </pic:nvPicPr>
                        <pic:blipFill>
                          <a:blip r:embed="rId325"/>
                          <a:stretch>
                            <a:fillRect/>
                          </a:stretch>
                        </pic:blipFill>
                        <pic:spPr bwMode="auto">
                          <a:xfrm>
                            <a:off x="0" y="0"/>
                            <a:ext cx="5969000" cy="5969000"/>
                          </a:xfrm>
                          <a:prstGeom prst="rect">
                            <a:avLst/>
                          </a:prstGeom>
                          <a:noFill/>
                          <a:ln w="9525">
                            <a:noFill/>
                            <a:headEnd/>
                            <a:tailEnd/>
                          </a:ln>
                        </pic:spPr>
                      </pic:pic>
                    </a:graphicData>
                  </a:graphic>
                </wp:inline>
              </w:drawing>
            </w:r>
          </w:p>
          <w:bookmarkEnd w:id="328"/>
        </w:tc>
      </w:tr>
    </w:tbl>
    <w:bookmarkEnd w:id="329"/>
    <w:bookmarkStart w:id="339" w:name="ventes-de-riz"/>
    <w:p>
      <w:pPr>
        <w:pStyle w:val="Titre4"/>
      </w:pPr>
      <w:r>
        <w:t xml:space="preserve">5.1.1.5 Ventes de riz</w:t>
      </w:r>
    </w:p>
    <w:p>
      <w:pPr>
        <w:pStyle w:val="FirstParagraph"/>
      </w:pPr>
      <w:r>
        <w:t xml:space="preserve">La commercialisation du paddy est une source de revenu majeure. Le calendrier et le prix de vente sont déterminants pour le revenu rizicole net.</w:t>
      </w:r>
    </w:p>
    <w:p>
      <w:pPr>
        <w:pStyle w:val="Corpsdetexte"/>
      </w:pPr>
      <w:r>
        <w:t xml:space="preserve">A Marovoay, 44.2 % des ménages déclarent avoir vendu du riz au cours de la campagne.</w:t>
      </w:r>
    </w:p>
    <w:tbl>
      <w:tblPr>
        <w:tblStyle w:val="Table"/>
        <w:tblW w:type="pct" w:w="5000"/>
        <w:tblLayout w:type="fixed"/>
        <w:tblLook w:firstRow="0" w:lastRow="0" w:firstColumn="0" w:lastColumn="0" w:noHBand="0" w:noVBand="0" w:val="0000"/>
      </w:tblPr>
      <w:tblGrid>
        <w:gridCol w:w="7920"/>
      </w:tblGrid>
      <w:tr>
        <w:tc>
          <w:tcPr/>
          <w:bookmarkStart w:id="330" w:name="tbl-ventes-riz-taux"/>
          <w:p>
            <w:pPr>
              <w:jc w:val="center"/>
            </w:pPr>
            <w:pPr>
              <w:jc w:val="left"/>
              <w:spacing w:before="200"/>
              <w:pStyle w:val="ImageCaption"/>
            </w:pPr>
            <w:r>
              <w:t xml:space="preserve">Table 5.2: Taux de vente de riz par observatoire</w:t>
            </w:r>
          </w:p>
          <w:bookmarkEnd w:id="330"/>
        </w:tc>
      </w:tr>
    </w:tbl>
    <w:tbl>
      <w:tblPr>
        <w:tblStyle w:val="Table"/>
        <w:tblW w:type="pct" w:w="5000"/>
        <w:tblLayout w:type="fixed"/>
        <w:tblLook w:firstRow="0" w:lastRow="0" w:firstColumn="0" w:lastColumn="0" w:noHBand="0" w:noVBand="0" w:val="0000"/>
      </w:tblPr>
      <w:tblGrid>
        <w:gridCol w:w="7920"/>
      </w:tblGrid>
      <w:tr>
        <w:tc>
          <w:tcPr/>
          <w:bookmarkStart w:id="334" w:name="fig-ventes-riz-mois"/>
          <w:p>
            <w:pPr>
              <w:jc w:val="center"/>
            </w:pPr>
            <w:pPr>
              <w:jc w:val="left"/>
              <w:spacing w:before="200"/>
              <w:pStyle w:val="ImageCaption"/>
            </w:pPr>
            <w:r>
              <w:t xml:space="preserve">Figure 5.10: Répartition mensuelle des ventes de riz</w:t>
            </w:r>
          </w:p>
          <w:p>
            <w:pPr>
              <w:pStyle w:val="Compact"/>
              <w:jc w:val="center"/>
            </w:pPr>
            <w:r>
              <w:drawing>
                <wp:inline>
                  <wp:extent cx="5969000" cy="3316111"/>
                  <wp:effectExtent b="0" l="0" r="0" t="0"/>
                  <wp:docPr descr="" title="" id="332" name="Picture"/>
                  <a:graphic>
                    <a:graphicData uri="http://schemas.openxmlformats.org/drawingml/2006/picture">
                      <pic:pic>
                        <pic:nvPicPr>
                          <pic:cNvPr descr="05_agriculture_files/figure-docx/fig-ventes-riz-mois-1.png" id="333" name="Picture"/>
                          <pic:cNvPicPr>
                            <a:picLocks noChangeArrowheads="1" noChangeAspect="1"/>
                          </pic:cNvPicPr>
                        </pic:nvPicPr>
                        <pic:blipFill>
                          <a:blip r:embed="rId331"/>
                          <a:stretch>
                            <a:fillRect/>
                          </a:stretch>
                        </pic:blipFill>
                        <pic:spPr bwMode="auto">
                          <a:xfrm>
                            <a:off x="0" y="0"/>
                            <a:ext cx="5969000" cy="3316111"/>
                          </a:xfrm>
                          <a:prstGeom prst="rect">
                            <a:avLst/>
                          </a:prstGeom>
                          <a:noFill/>
                          <a:ln w="9525">
                            <a:noFill/>
                            <a:headEnd/>
                            <a:tailEnd/>
                          </a:ln>
                        </pic:spPr>
                      </pic:pic>
                    </a:graphicData>
                  </a:graphic>
                </wp:inline>
              </w:drawing>
            </w:r>
          </w:p>
          <w:bookmarkEnd w:id="334"/>
        </w:tc>
      </w:tr>
    </w:tbl>
    <w:tbl>
      <w:tblPr>
        <w:tblStyle w:val="Table"/>
        <w:tblW w:type="pct" w:w="5000"/>
        <w:tblLayout w:type="fixed"/>
        <w:tblLook w:firstRow="0" w:lastRow="0" w:firstColumn="0" w:lastColumn="0" w:noHBand="0" w:noVBand="0" w:val="0000"/>
      </w:tblPr>
      <w:tblGrid>
        <w:gridCol w:w="7920"/>
      </w:tblGrid>
      <w:tr>
        <w:tc>
          <w:tcPr/>
          <w:bookmarkStart w:id="338" w:name="fig-prix-paddy"/>
          <w:p>
            <w:pPr>
              <w:jc w:val="center"/>
            </w:pPr>
            <w:pPr>
              <w:jc w:val="left"/>
              <w:spacing w:before="200"/>
              <w:pStyle w:val="ImageCaption"/>
            </w:pPr>
            <w:r>
              <w:t xml:space="preserve">Figure 5.11: Distribution du prix de vente du paddy (Ar/kg)</w:t>
            </w:r>
          </w:p>
          <w:p>
            <w:pPr>
              <w:pStyle w:val="Compact"/>
              <w:jc w:val="center"/>
            </w:pPr>
            <w:r>
              <w:drawing>
                <wp:inline>
                  <wp:extent cx="5969000" cy="3730624"/>
                  <wp:effectExtent b="0" l="0" r="0" t="0"/>
                  <wp:docPr descr="" title="" id="336" name="Picture"/>
                  <a:graphic>
                    <a:graphicData uri="http://schemas.openxmlformats.org/drawingml/2006/picture">
                      <pic:pic>
                        <pic:nvPicPr>
                          <pic:cNvPr descr="05_agriculture_files/figure-docx/fig-prix-paddy-1.png" id="337" name="Picture"/>
                          <pic:cNvPicPr>
                            <a:picLocks noChangeArrowheads="1" noChangeAspect="1"/>
                          </pic:cNvPicPr>
                        </pic:nvPicPr>
                        <pic:blipFill>
                          <a:blip r:embed="rId335"/>
                          <a:stretch>
                            <a:fillRect/>
                          </a:stretch>
                        </pic:blipFill>
                        <pic:spPr bwMode="auto">
                          <a:xfrm>
                            <a:off x="0" y="0"/>
                            <a:ext cx="5969000" cy="3730624"/>
                          </a:xfrm>
                          <a:prstGeom prst="rect">
                            <a:avLst/>
                          </a:prstGeom>
                          <a:noFill/>
                          <a:ln w="9525">
                            <a:noFill/>
                            <a:headEnd/>
                            <a:tailEnd/>
                          </a:ln>
                        </pic:spPr>
                      </pic:pic>
                    </a:graphicData>
                  </a:graphic>
                </wp:inline>
              </w:drawing>
            </w:r>
          </w:p>
          <w:bookmarkEnd w:id="338"/>
        </w:tc>
      </w:tr>
    </w:tbl>
    <w:bookmarkEnd w:id="339"/>
    <w:bookmarkStart w:id="343" w:name="bilan-rizicole-du-ménage"/>
    <w:p>
      <w:pPr>
        <w:pStyle w:val="Titre4"/>
      </w:pPr>
      <w:r>
        <w:t xml:space="preserve">5.1.1.6 Bilan rizicole du ménage</w:t>
      </w:r>
    </w:p>
    <w:p>
      <w:pPr>
        <w:pStyle w:val="FirstParagraph"/>
      </w:pPr>
      <w:r>
        <w:t xml:space="preserve">Le bilan rizicole reconstitue les flux de paddy au niveau du ménage : stock initial, production, transactions (achat, vente, rente, dons), autoconsommation alimentaire, utilisation en semences, et stock final.</w:t>
      </w:r>
    </w:p>
    <w:p>
      <w:pPr>
        <w:pStyle w:val="CaptionedFigure"/>
      </w:pPr>
      <w:r>
        <w:drawing>
          <wp:inline>
            <wp:extent cx="4620126" cy="3696101"/>
            <wp:effectExtent b="0" l="0" r="0" t="0"/>
            <wp:docPr descr="Bilan rizicole moyen par ménage (kg de paddy)" title="" id="341" name="Picture"/>
            <a:graphic>
              <a:graphicData uri="http://schemas.openxmlformats.org/drawingml/2006/picture">
                <pic:pic>
                  <pic:nvPicPr>
                    <pic:cNvPr descr="05_agriculture_files/figure-docx/fig_bilan_riz-1.png" id="342" name="Picture"/>
                    <pic:cNvPicPr>
                      <a:picLocks noChangeArrowheads="1" noChangeAspect="1"/>
                    </pic:cNvPicPr>
                  </pic:nvPicPr>
                  <pic:blipFill>
                    <a:blip r:embed="rId34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Bilan rizicole moyen par ménage (kg de paddy)</w:t>
      </w:r>
    </w:p>
    <w:bookmarkEnd w:id="343"/>
    <w:bookmarkEnd w:id="344"/>
    <w:bookmarkStart w:id="363" w:name="sec-autres-cultures"/>
    <w:p>
      <w:pPr>
        <w:pStyle w:val="Titre3"/>
      </w:pPr>
      <w:r>
        <w:t xml:space="preserve">5.1.2 Autres cultures</w:t>
      </w:r>
    </w:p>
    <w:p>
      <w:pPr>
        <w:pStyle w:val="FirstParagraph"/>
      </w:pPr>
      <w:r>
        <w:t xml:space="preserve">La diversification culturale est un enjeu central pour la résilience alimentaire et économique des ménages.</w:t>
      </w:r>
    </w:p>
    <w:p>
      <w:pPr>
        <w:pStyle w:val="Corpsdetexte"/>
      </w:pPr>
      <w:r>
        <w:t xml:space="preserve">A Marovoay, au-delà du riz, 28.8 % des ménages pratiquent au moins une culture non rizicole.</w:t>
      </w:r>
    </w:p>
    <w:tbl>
      <w:tblPr>
        <w:tblStyle w:val="Table"/>
        <w:tblW w:type="pct" w:w="5000"/>
        <w:tblLayout w:type="fixed"/>
        <w:tblLook w:firstRow="0" w:lastRow="0" w:firstColumn="0" w:lastColumn="0" w:noHBand="0" w:noVBand="0" w:val="0000"/>
      </w:tblPr>
      <w:tblGrid>
        <w:gridCol w:w="7920"/>
      </w:tblGrid>
      <w:tr>
        <w:tc>
          <w:tcPr/>
          <w:bookmarkStart w:id="345" w:name="tbl-pratique-autres"/>
          <w:p>
            <w:pPr>
              <w:jc w:val="center"/>
            </w:pPr>
            <w:pPr>
              <w:jc w:val="left"/>
              <w:spacing w:before="200"/>
              <w:pStyle w:val="ImageCaption"/>
            </w:pPr>
            <w:r>
              <w:t xml:space="preserve">Table 5.3: Pratique des cultures non rizicoles</w:t>
            </w:r>
          </w:p>
          <w:bookmarkEnd w:id="345"/>
        </w:tc>
      </w:tr>
    </w:tbl>
    <w:bookmarkStart w:id="354" w:name="diversification-et-principales-cultures"/>
    <w:p>
      <w:pPr>
        <w:pStyle w:val="Titre4"/>
      </w:pPr>
      <w:r>
        <w:t xml:space="preserve">5.1.2.1 Diversification et principales cultures</w:t>
      </w:r>
    </w:p>
    <w:p>
      <w:pPr>
        <w:pStyle w:val="FirstParagraph"/>
      </w:pPr>
      <w:r>
        <w:t xml:space="preserve">Le portefeuille de cultures reflète les opportunités de marché et les conditions pédoclimatiques propres à chaque observatoire.</w:t>
      </w:r>
    </w:p>
    <w:p>
      <w:pPr>
        <w:pStyle w:val="Corpsdetexte"/>
      </w:pPr>
      <w:r>
        <w:t xml:space="preserve">A Marovoay, les ménages cultivent un nombre médian de 1 cultures non rizicoles.</w:t>
      </w:r>
    </w:p>
    <w:tbl>
      <w:tblPr>
        <w:tblStyle w:val="Table"/>
        <w:tblW w:type="pct" w:w="5000"/>
        <w:tblLayout w:type="fixed"/>
        <w:tblLook w:firstRow="0" w:lastRow="0" w:firstColumn="0" w:lastColumn="0" w:noHBand="0" w:noVBand="0" w:val="0000"/>
      </w:tblPr>
      <w:tblGrid>
        <w:gridCol w:w="7920"/>
      </w:tblGrid>
      <w:tr>
        <w:tc>
          <w:tcPr/>
          <w:bookmarkStart w:id="349" w:name="fig-diversification"/>
          <w:p>
            <w:pPr>
              <w:jc w:val="center"/>
            </w:pPr>
            <w:pPr>
              <w:jc w:val="left"/>
              <w:spacing w:before="200"/>
              <w:pStyle w:val="ImageCaption"/>
            </w:pPr>
            <w:r>
              <w:t xml:space="preserve">Figure 5.12: Nombre de cultures non rizicoles par ménage</w:t>
            </w:r>
          </w:p>
          <w:p>
            <w:pPr>
              <w:pStyle w:val="Compact"/>
              <w:jc w:val="center"/>
            </w:pPr>
            <w:r>
              <w:drawing>
                <wp:inline>
                  <wp:extent cx="5969000" cy="3730624"/>
                  <wp:effectExtent b="0" l="0" r="0" t="0"/>
                  <wp:docPr descr="" title="" id="347" name="Picture"/>
                  <a:graphic>
                    <a:graphicData uri="http://schemas.openxmlformats.org/drawingml/2006/picture">
                      <pic:pic>
                        <pic:nvPicPr>
                          <pic:cNvPr descr="05_agriculture_files/figure-docx/fig-diversification-1.png" id="348" name="Picture"/>
                          <pic:cNvPicPr>
                            <a:picLocks noChangeArrowheads="1" noChangeAspect="1"/>
                          </pic:cNvPicPr>
                        </pic:nvPicPr>
                        <pic:blipFill>
                          <a:blip r:embed="rId346"/>
                          <a:stretch>
                            <a:fillRect/>
                          </a:stretch>
                        </pic:blipFill>
                        <pic:spPr bwMode="auto">
                          <a:xfrm>
                            <a:off x="0" y="0"/>
                            <a:ext cx="5969000" cy="3730624"/>
                          </a:xfrm>
                          <a:prstGeom prst="rect">
                            <a:avLst/>
                          </a:prstGeom>
                          <a:noFill/>
                          <a:ln w="9525">
                            <a:noFill/>
                            <a:headEnd/>
                            <a:tailEnd/>
                          </a:ln>
                        </pic:spPr>
                      </pic:pic>
                    </a:graphicData>
                  </a:graphic>
                </wp:inline>
              </w:drawing>
            </w:r>
          </w:p>
          <w:bookmarkEnd w:id="349"/>
        </w:tc>
      </w:tr>
    </w:tbl>
    <w:tbl>
      <w:tblPr>
        <w:tblStyle w:val="Table"/>
        <w:tblW w:type="pct" w:w="5000"/>
        <w:tblLayout w:type="fixed"/>
        <w:tblLook w:firstRow="0" w:lastRow="0" w:firstColumn="0" w:lastColumn="0" w:noHBand="0" w:noVBand="0" w:val="0000"/>
      </w:tblPr>
      <w:tblGrid>
        <w:gridCol w:w="7920"/>
      </w:tblGrid>
      <w:tr>
        <w:tc>
          <w:tcPr/>
          <w:bookmarkStart w:id="353" w:name="fig-top-cultures"/>
          <w:p>
            <w:pPr>
              <w:jc w:val="center"/>
            </w:pPr>
            <w:pPr>
              <w:jc w:val="left"/>
              <w:spacing w:before="200"/>
              <w:pStyle w:val="ImageCaption"/>
            </w:pPr>
            <w:r>
              <w:t xml:space="preserve">Figure 5.13: Cultures non rizicoles les plus fréquentes (nb de ménages pratiquant)</w:t>
            </w:r>
          </w:p>
          <w:p>
            <w:pPr>
              <w:pStyle w:val="Compact"/>
              <w:jc w:val="center"/>
            </w:pPr>
            <w:r>
              <w:drawing>
                <wp:inline>
                  <wp:extent cx="5969000" cy="5969000"/>
                  <wp:effectExtent b="0" l="0" r="0" t="0"/>
                  <wp:docPr descr="" title="" id="351" name="Picture"/>
                  <a:graphic>
                    <a:graphicData uri="http://schemas.openxmlformats.org/drawingml/2006/picture">
                      <pic:pic>
                        <pic:nvPicPr>
                          <pic:cNvPr descr="05_agriculture_files/figure-docx/fig-top-cultures-1.png" id="352" name="Picture"/>
                          <pic:cNvPicPr>
                            <a:picLocks noChangeArrowheads="1" noChangeAspect="1"/>
                          </pic:cNvPicPr>
                        </pic:nvPicPr>
                        <pic:blipFill>
                          <a:blip r:embed="rId350"/>
                          <a:stretch>
                            <a:fillRect/>
                          </a:stretch>
                        </pic:blipFill>
                        <pic:spPr bwMode="auto">
                          <a:xfrm>
                            <a:off x="0" y="0"/>
                            <a:ext cx="5969000" cy="5969000"/>
                          </a:xfrm>
                          <a:prstGeom prst="rect">
                            <a:avLst/>
                          </a:prstGeom>
                          <a:noFill/>
                          <a:ln w="9525">
                            <a:noFill/>
                            <a:headEnd/>
                            <a:tailEnd/>
                          </a:ln>
                        </pic:spPr>
                      </pic:pic>
                    </a:graphicData>
                  </a:graphic>
                </wp:inline>
              </w:drawing>
            </w:r>
          </w:p>
          <w:bookmarkEnd w:id="353"/>
        </w:tc>
      </w:tr>
    </w:tbl>
    <w:bookmarkEnd w:id="354"/>
    <w:bookmarkStart w:id="360" w:name="X39d1cfa685ef13e52c1c642965d3432706de56b"/>
    <w:p>
      <w:pPr>
        <w:pStyle w:val="Titre4"/>
      </w:pPr>
      <w:r>
        <w:t xml:space="preserve">5.1.2.2 Fertilisation et production des autres cultures</w:t>
      </w:r>
    </w:p>
    <w:p>
      <w:pPr>
        <w:pStyle w:val="FirstParagraph"/>
      </w:pPr>
      <w:r>
        <w:t xml:space="preserve">L’accès aux engrais (organiques et chimiques) est un facteur déterminant de la productivité des cultures non rizicoles. Les pratiques de fertilisation diffèrent sensiblement entre les deux observatoires en raison de l’accessibilité et du coût des intrants.</w:t>
      </w:r>
    </w:p>
    <w:tbl>
      <w:tblPr>
        <w:tblStyle w:val="Table"/>
        <w:tblW w:type="pct" w:w="5000"/>
        <w:tblLayout w:type="fixed"/>
        <w:tblLook w:firstRow="0" w:lastRow="0" w:firstColumn="0" w:lastColumn="0" w:noHBand="0" w:noVBand="0" w:val="0000"/>
      </w:tblPr>
      <w:tblGrid>
        <w:gridCol w:w="7920"/>
      </w:tblGrid>
      <w:tr>
        <w:tc>
          <w:tcPr/>
          <w:bookmarkStart w:id="358" w:name="fig-engrais-autres"/>
          <w:p>
            <w:pPr>
              <w:jc w:val="center"/>
            </w:pPr>
            <w:pPr>
              <w:jc w:val="left"/>
              <w:spacing w:before="200"/>
              <w:pStyle w:val="ImageCaption"/>
            </w:pPr>
            <w:r>
              <w:t xml:space="preserve">Figure 5.14: Utilisation d’engrais sur les parcelles de cultures non rizicoles</w:t>
            </w:r>
          </w:p>
          <w:p>
            <w:pPr>
              <w:pStyle w:val="Compact"/>
              <w:jc w:val="center"/>
            </w:pPr>
            <w:r>
              <w:drawing>
                <wp:inline>
                  <wp:extent cx="5969000" cy="5969000"/>
                  <wp:effectExtent b="0" l="0" r="0" t="0"/>
                  <wp:docPr descr="" title="" id="356" name="Picture"/>
                  <a:graphic>
                    <a:graphicData uri="http://schemas.openxmlformats.org/drawingml/2006/picture">
                      <pic:pic>
                        <pic:nvPicPr>
                          <pic:cNvPr descr="05_agriculture_files/figure-docx/fig-engrais-autres-1.png" id="357" name="Picture"/>
                          <pic:cNvPicPr>
                            <a:picLocks noChangeArrowheads="1" noChangeAspect="1"/>
                          </pic:cNvPicPr>
                        </pic:nvPicPr>
                        <pic:blipFill>
                          <a:blip r:embed="rId355"/>
                          <a:stretch>
                            <a:fillRect/>
                          </a:stretch>
                        </pic:blipFill>
                        <pic:spPr bwMode="auto">
                          <a:xfrm>
                            <a:off x="0" y="0"/>
                            <a:ext cx="5969000" cy="5969000"/>
                          </a:xfrm>
                          <a:prstGeom prst="rect">
                            <a:avLst/>
                          </a:prstGeom>
                          <a:noFill/>
                          <a:ln w="9525">
                            <a:noFill/>
                            <a:headEnd/>
                            <a:tailEnd/>
                          </a:ln>
                        </pic:spPr>
                      </pic:pic>
                    </a:graphicData>
                  </a:graphic>
                </wp:inline>
              </w:drawing>
            </w:r>
          </w:p>
          <w:bookmarkEnd w:id="358"/>
        </w:tc>
      </w:tr>
    </w:tbl>
    <w:tbl>
      <w:tblPr>
        <w:tblStyle w:val="Table"/>
        <w:tblW w:type="pct" w:w="5000"/>
        <w:tblLayout w:type="fixed"/>
        <w:tblLook w:firstRow="0" w:lastRow="0" w:firstColumn="0" w:lastColumn="0" w:noHBand="0" w:noVBand="0" w:val="0000"/>
      </w:tblPr>
      <w:tblGrid>
        <w:gridCol w:w="7920"/>
      </w:tblGrid>
      <w:tr>
        <w:tc>
          <w:tcPr/>
          <w:bookmarkStart w:id="359" w:name="tbl-production-autres"/>
          <w:p>
            <w:pPr>
              <w:jc w:val="center"/>
            </w:pPr>
            <w:pPr>
              <w:jc w:val="left"/>
              <w:spacing w:before="200"/>
              <w:pStyle w:val="ImageCaption"/>
            </w:pPr>
            <w:r>
              <w:t xml:space="preserve">Table 5.4: Production et ventes des principales cultures non rizicoles</w:t>
            </w:r>
          </w:p>
          <w:bookmarkEnd w:id="359"/>
        </w:tc>
      </w:tr>
    </w:tbl>
    <w:bookmarkEnd w:id="360"/>
    <w:bookmarkStart w:id="362" w:name="perception-des-rendements"/>
    <w:p>
      <w:pPr>
        <w:pStyle w:val="Titre4"/>
      </w:pPr>
      <w:r>
        <w:t xml:space="preserve">5.1.2.3 Perception des rendements</w:t>
      </w:r>
    </w:p>
    <w:p>
      <w:pPr>
        <w:pStyle w:val="FirstParagraph"/>
      </w:pPr>
      <w:r>
        <w:t xml:space="preserve">Au-delà des mesures quantitatives, la perception subjective des rendements par les agriculteurs constitue un indicateur complémentaire de la performance de la campagne. Elle reflète à la fois les résultats objectifs et les attentes des producteurs.</w:t>
      </w:r>
    </w:p>
    <w:tbl>
      <w:tblPr>
        <w:tblStyle w:val="Table"/>
        <w:tblW w:type="pct" w:w="5000"/>
        <w:tblLayout w:type="fixed"/>
        <w:tblLook w:firstRow="0" w:lastRow="0" w:firstColumn="0" w:lastColumn="0" w:noHBand="0" w:noVBand="0" w:val="0000"/>
      </w:tblPr>
      <w:tblGrid>
        <w:gridCol w:w="7920"/>
      </w:tblGrid>
      <w:tr>
        <w:tc>
          <w:tcPr/>
          <w:bookmarkStart w:id="361" w:name="tbl-rendement-autres"/>
          <w:p>
            <w:pPr>
              <w:jc w:val="center"/>
            </w:pPr>
            <w:pPr>
              <w:jc w:val="left"/>
              <w:spacing w:before="200"/>
              <w:pStyle w:val="ImageCaption"/>
            </w:pPr>
            <w:r>
              <w:t xml:space="preserve">Table 5.5: Perception des rendements des cultures non rizicoles</w:t>
            </w:r>
          </w:p>
          <w:bookmarkEnd w:id="361"/>
        </w:tc>
      </w:tr>
    </w:tbl>
    <w:bookmarkEnd w:id="362"/>
    <w:bookmarkEnd w:id="363"/>
    <w:bookmarkStart w:id="369" w:name="sec-jardins"/>
    <w:p>
      <w:pPr>
        <w:pStyle w:val="Titre3"/>
      </w:pPr>
      <w:r>
        <w:t xml:space="preserve">5.1.3 Jardins potagers et cueillette</w:t>
      </w:r>
    </w:p>
    <w:p>
      <w:pPr>
        <w:pStyle w:val="FirstParagraph"/>
      </w:pPr>
      <w:r>
        <w:t xml:space="preserve">Les jardins potagers et la cueillette de produits sauvages complètent les activités agricoles des ménages. Ils jouent un rôle important dans la diversification alimentaire, en particulier pendant la période de soudure.</w:t>
      </w:r>
    </w:p>
    <w:tbl>
      <w:tblPr>
        <w:tblStyle w:val="Table"/>
        <w:tblW w:type="pct" w:w="5000"/>
        <w:tblLayout w:type="fixed"/>
        <w:tblLook w:firstRow="0" w:lastRow="0" w:firstColumn="0" w:lastColumn="0" w:noHBand="0" w:noVBand="0" w:val="0000"/>
      </w:tblPr>
      <w:tblGrid>
        <w:gridCol w:w="7920"/>
      </w:tblGrid>
      <w:tr>
        <w:tc>
          <w:tcPr/>
          <w:bookmarkStart w:id="364" w:name="tbl-jardin-pratique"/>
          <w:p>
            <w:pPr>
              <w:jc w:val="center"/>
            </w:pPr>
            <w:pPr>
              <w:jc w:val="left"/>
              <w:spacing w:before="200"/>
              <w:pStyle w:val="ImageCaption"/>
            </w:pPr>
            <w:r>
              <w:t xml:space="preserve">Table 5.6: Pratique du jardin potager et de la cueillette</w:t>
            </w:r>
          </w:p>
          <w:bookmarkEnd w:id="364"/>
        </w:tc>
      </w:tr>
    </w:tbl>
    <w:tbl>
      <w:tblPr>
        <w:tblStyle w:val="Table"/>
        <w:tblW w:type="pct" w:w="5000"/>
        <w:tblLayout w:type="fixed"/>
        <w:tblLook w:firstRow="0" w:lastRow="0" w:firstColumn="0" w:lastColumn="0" w:noHBand="0" w:noVBand="0" w:val="0000"/>
      </w:tblPr>
      <w:tblGrid>
        <w:gridCol w:w="7920"/>
      </w:tblGrid>
      <w:tr>
        <w:tc>
          <w:tcPr/>
          <w:bookmarkStart w:id="368" w:name="fig-top-jardin"/>
          <w:p>
            <w:pPr>
              <w:jc w:val="center"/>
            </w:pPr>
            <w:pPr>
              <w:jc w:val="left"/>
              <w:spacing w:before="200"/>
              <w:pStyle w:val="ImageCaption"/>
            </w:pPr>
            <w:r>
              <w:t xml:space="preserve">Figure 5.15: Produits de jardin / cueillette les plus fréquents</w:t>
            </w:r>
          </w:p>
          <w:p>
            <w:pPr>
              <w:pStyle w:val="Compact"/>
              <w:jc w:val="center"/>
            </w:pPr>
            <w:r>
              <w:drawing>
                <wp:inline>
                  <wp:extent cx="5969000" cy="5969000"/>
                  <wp:effectExtent b="0" l="0" r="0" t="0"/>
                  <wp:docPr descr="" title="" id="366" name="Picture"/>
                  <a:graphic>
                    <a:graphicData uri="http://schemas.openxmlformats.org/drawingml/2006/picture">
                      <pic:pic>
                        <pic:nvPicPr>
                          <pic:cNvPr descr="05_agriculture_files/figure-docx/fig-top-jardin-1.png" id="367" name="Picture"/>
                          <pic:cNvPicPr>
                            <a:picLocks noChangeArrowheads="1" noChangeAspect="1"/>
                          </pic:cNvPicPr>
                        </pic:nvPicPr>
                        <pic:blipFill>
                          <a:blip r:embed="rId365"/>
                          <a:stretch>
                            <a:fillRect/>
                          </a:stretch>
                        </pic:blipFill>
                        <pic:spPr bwMode="auto">
                          <a:xfrm>
                            <a:off x="0" y="0"/>
                            <a:ext cx="5969000" cy="5969000"/>
                          </a:xfrm>
                          <a:prstGeom prst="rect">
                            <a:avLst/>
                          </a:prstGeom>
                          <a:noFill/>
                          <a:ln w="9525">
                            <a:noFill/>
                            <a:headEnd/>
                            <a:tailEnd/>
                          </a:ln>
                        </pic:spPr>
                      </pic:pic>
                    </a:graphicData>
                  </a:graphic>
                </wp:inline>
              </w:drawing>
            </w:r>
          </w:p>
          <w:bookmarkEnd w:id="368"/>
        </w:tc>
      </w:tr>
    </w:tbl>
    <w:bookmarkEnd w:id="369"/>
    <w:bookmarkStart w:id="374" w:name="sec-foret"/>
    <w:p>
      <w:pPr>
        <w:pStyle w:val="Titre3"/>
      </w:pPr>
      <w:r>
        <w:t xml:space="preserve">5.1.4 Exploitation forestière</w:t>
      </w:r>
    </w:p>
    <w:p>
      <w:pPr>
        <w:pStyle w:val="FirstParagraph"/>
      </w:pPr>
      <w:r>
        <w:t xml:space="preserve">L’exploitation des ressources forestières (bois de chauffe, charbon, bois d’œuvre, plantes médicinales) constitue une activité complémentaire pour de nombreux ménages. Les produits forestiers sont essentiels à la fois comme source d’énergie domestique et comme revenu d’appoint.</w:t>
      </w:r>
    </w:p>
    <w:tbl>
      <w:tblPr>
        <w:tblStyle w:val="Table"/>
        <w:tblW w:type="pct" w:w="5000"/>
        <w:tblLayout w:type="fixed"/>
        <w:tblLook w:firstRow="0" w:lastRow="0" w:firstColumn="0" w:lastColumn="0" w:noHBand="0" w:noVBand="0" w:val="0000"/>
      </w:tblPr>
      <w:tblGrid>
        <w:gridCol w:w="7920"/>
      </w:tblGrid>
      <w:tr>
        <w:tc>
          <w:tcPr/>
          <w:bookmarkStart w:id="373" w:name="fig-produits-foret"/>
          <w:p>
            <w:pPr>
              <w:jc w:val="center"/>
            </w:pPr>
            <w:pPr>
              <w:jc w:val="left"/>
              <w:spacing w:before="200"/>
              <w:pStyle w:val="ImageCaption"/>
            </w:pPr>
            <w:r>
              <w:t xml:space="preserve">Figure 5.16: Principaux produits de l’exploitation forestière</w:t>
            </w:r>
          </w:p>
          <w:p>
            <w:pPr>
              <w:pStyle w:val="Compact"/>
              <w:jc w:val="center"/>
            </w:pPr>
            <w:r>
              <w:drawing>
                <wp:inline>
                  <wp:extent cx="5969000" cy="5236692"/>
                  <wp:effectExtent b="0" l="0" r="0" t="0"/>
                  <wp:docPr descr="" title="" id="371" name="Picture"/>
                  <a:graphic>
                    <a:graphicData uri="http://schemas.openxmlformats.org/drawingml/2006/picture">
                      <pic:pic>
                        <pic:nvPicPr>
                          <pic:cNvPr descr="05_agriculture_files/figure-docx/fig-produits-foret-1.png" id="372" name="Picture"/>
                          <pic:cNvPicPr>
                            <a:picLocks noChangeArrowheads="1" noChangeAspect="1"/>
                          </pic:cNvPicPr>
                        </pic:nvPicPr>
                        <pic:blipFill>
                          <a:blip r:embed="rId370"/>
                          <a:stretch>
                            <a:fillRect/>
                          </a:stretch>
                        </pic:blipFill>
                        <pic:spPr bwMode="auto">
                          <a:xfrm>
                            <a:off x="0" y="0"/>
                            <a:ext cx="5969000" cy="5236692"/>
                          </a:xfrm>
                          <a:prstGeom prst="rect">
                            <a:avLst/>
                          </a:prstGeom>
                          <a:noFill/>
                          <a:ln w="9525">
                            <a:noFill/>
                            <a:headEnd/>
                            <a:tailEnd/>
                          </a:ln>
                        </pic:spPr>
                      </pic:pic>
                    </a:graphicData>
                  </a:graphic>
                </wp:inline>
              </w:drawing>
            </w:r>
          </w:p>
          <w:bookmarkEnd w:id="373"/>
        </w:tc>
      </w:tr>
    </w:tbl>
    <w:bookmarkEnd w:id="374"/>
    <w:bookmarkEnd w:id="375"/>
    <w:bookmarkStart w:id="398" w:name="sec-elevage"/>
    <w:p>
      <w:pPr>
        <w:pStyle w:val="Titre2"/>
      </w:pPr>
      <w:r>
        <w:t xml:space="preserve">5.2 Élevage</w:t>
      </w:r>
    </w:p>
    <w:bookmarkStart w:id="377" w:name="pratique-de-lélevage"/>
    <w:p>
      <w:pPr>
        <w:pStyle w:val="Titre3"/>
      </w:pPr>
      <w:r>
        <w:t xml:space="preserve">5.2.1 Pratique de l’élevage</w:t>
      </w:r>
    </w:p>
    <w:p>
      <w:pPr>
        <w:pStyle w:val="FirstParagraph"/>
      </w:pPr>
      <w:r>
        <w:t xml:space="preserve">L’élevage remplit des fonctions multiples : épargne sur pied, force de travail, autoconsommation et source de revenu.</w:t>
      </w:r>
    </w:p>
    <w:p>
      <w:pPr>
        <w:pStyle w:val="Corpsdetexte"/>
      </w:pPr>
      <w:r>
        <w:t xml:space="preserve">A Marovoay, L’élevage est pratiqué par 72.3 % des ménages.</w:t>
      </w:r>
    </w:p>
    <w:tbl>
      <w:tblPr>
        <w:tblStyle w:val="Table"/>
        <w:tblW w:type="pct" w:w="5000"/>
        <w:tblLayout w:type="fixed"/>
        <w:tblLook w:firstRow="0" w:lastRow="0" w:firstColumn="0" w:lastColumn="0" w:noHBand="0" w:noVBand="0" w:val="0000"/>
      </w:tblPr>
      <w:tblGrid>
        <w:gridCol w:w="7920"/>
      </w:tblGrid>
      <w:tr>
        <w:tc>
          <w:tcPr/>
          <w:bookmarkStart w:id="376" w:name="tbl-elevage-pratique"/>
          <w:p>
            <w:pPr>
              <w:jc w:val="center"/>
            </w:pPr>
            <w:pPr>
              <w:jc w:val="left"/>
              <w:spacing w:before="200"/>
              <w:pStyle w:val="ImageCaption"/>
            </w:pPr>
            <w:r>
              <w:t xml:space="preserve">Table 5.7: Taux de pratique de l’élevage</w:t>
            </w:r>
          </w:p>
          <w:bookmarkEnd w:id="376"/>
        </w:tc>
      </w:tr>
    </w:tbl>
    <w:bookmarkEnd w:id="377"/>
    <w:bookmarkStart w:id="382" w:name="espèces-élevées"/>
    <w:p>
      <w:pPr>
        <w:pStyle w:val="Titre3"/>
      </w:pPr>
      <w:r>
        <w:t xml:space="preserve">5.2.2 Espèces élevées</w:t>
      </w:r>
    </w:p>
    <w:p>
      <w:pPr>
        <w:pStyle w:val="FirstParagraph"/>
      </w:pPr>
      <w:r>
        <w:t xml:space="preserve">Le choix des espèces reflète les conditions agro-écologiques, les traditions locales et les opportunités de marché.</w:t>
      </w:r>
    </w:p>
    <w:p>
      <w:pPr>
        <w:pStyle w:val="Corpsdetexte"/>
      </w:pPr>
      <w:r>
        <w:t xml:space="preserve">A Marovoay, L’espèce la plus élevée est le Omby Miasa.</w:t>
      </w:r>
    </w:p>
    <w:tbl>
      <w:tblPr>
        <w:tblStyle w:val="Table"/>
        <w:tblW w:type="pct" w:w="5000"/>
        <w:tblLayout w:type="fixed"/>
        <w:tblLook w:firstRow="0" w:lastRow="0" w:firstColumn="0" w:lastColumn="0" w:noHBand="0" w:noVBand="0" w:val="0000"/>
      </w:tblPr>
      <w:tblGrid>
        <w:gridCol w:w="7920"/>
      </w:tblGrid>
      <w:tr>
        <w:tc>
          <w:tcPr/>
          <w:bookmarkStart w:id="381" w:name="fig-especes-elevage"/>
          <w:p>
            <w:pPr>
              <w:jc w:val="center"/>
            </w:pPr>
            <w:pPr>
              <w:jc w:val="left"/>
              <w:spacing w:before="200"/>
              <w:pStyle w:val="ImageCaption"/>
            </w:pPr>
            <w:r>
              <w:t xml:space="preserve">Figure 5.17: Espèces élevées (% des ménages pratiquant)</w:t>
            </w:r>
          </w:p>
          <w:p>
            <w:pPr>
              <w:pStyle w:val="Compact"/>
              <w:jc w:val="center"/>
            </w:pPr>
            <w:r>
              <w:drawing>
                <wp:inline>
                  <wp:extent cx="5969000" cy="5969000"/>
                  <wp:effectExtent b="0" l="0" r="0" t="0"/>
                  <wp:docPr descr="" title="" id="379" name="Picture"/>
                  <a:graphic>
                    <a:graphicData uri="http://schemas.openxmlformats.org/drawingml/2006/picture">
                      <pic:pic>
                        <pic:nvPicPr>
                          <pic:cNvPr descr="05_agriculture_files/figure-docx/fig-especes-elevage-1.png" id="380" name="Picture"/>
                          <pic:cNvPicPr>
                            <a:picLocks noChangeArrowheads="1" noChangeAspect="1"/>
                          </pic:cNvPicPr>
                        </pic:nvPicPr>
                        <pic:blipFill>
                          <a:blip r:embed="rId378"/>
                          <a:stretch>
                            <a:fillRect/>
                          </a:stretch>
                        </pic:blipFill>
                        <pic:spPr bwMode="auto">
                          <a:xfrm>
                            <a:off x="0" y="0"/>
                            <a:ext cx="5969000" cy="5969000"/>
                          </a:xfrm>
                          <a:prstGeom prst="rect">
                            <a:avLst/>
                          </a:prstGeom>
                          <a:noFill/>
                          <a:ln w="9525">
                            <a:noFill/>
                            <a:headEnd/>
                            <a:tailEnd/>
                          </a:ln>
                        </pic:spPr>
                      </pic:pic>
                    </a:graphicData>
                  </a:graphic>
                </wp:inline>
              </w:drawing>
            </w:r>
          </w:p>
          <w:bookmarkEnd w:id="381"/>
        </w:tc>
      </w:tr>
    </w:tbl>
    <w:bookmarkEnd w:id="382"/>
    <w:bookmarkStart w:id="387" w:name="objectifs-de-lélevage"/>
    <w:p>
      <w:pPr>
        <w:pStyle w:val="Titre3"/>
      </w:pPr>
      <w:r>
        <w:t xml:space="preserve">5.2.3 Objectifs de l’élevage</w:t>
      </w:r>
    </w:p>
    <w:p>
      <w:pPr>
        <w:pStyle w:val="FirstParagraph"/>
      </w:pPr>
      <w:r>
        <w:t xml:space="preserve">L’élevage répond à trois objectifs principaux : l’épargne/assurance (constitution d’un capital mobilisable en cas de choc), l’autoconsommation (lait, œufs, viande) et la vente. La hiérarchie de ces objectifs varie selon l’espèce.</w:t>
      </w:r>
    </w:p>
    <w:tbl>
      <w:tblPr>
        <w:tblStyle w:val="Table"/>
        <w:tblW w:type="pct" w:w="5000"/>
        <w:tblLayout w:type="fixed"/>
        <w:tblLook w:firstRow="0" w:lastRow="0" w:firstColumn="0" w:lastColumn="0" w:noHBand="0" w:noVBand="0" w:val="0000"/>
      </w:tblPr>
      <w:tblGrid>
        <w:gridCol w:w="7920"/>
      </w:tblGrid>
      <w:tr>
        <w:tc>
          <w:tcPr/>
          <w:bookmarkStart w:id="386" w:name="fig-objectifs-elevage"/>
          <w:p>
            <w:pPr>
              <w:jc w:val="center"/>
            </w:pPr>
            <w:pPr>
              <w:jc w:val="left"/>
              <w:spacing w:before="200"/>
              <w:pStyle w:val="ImageCaption"/>
            </w:pPr>
            <w:r>
              <w:t xml:space="preserve">Figure 5.18: Objectifs de l’élevage par espèce (% des ménages éleveurs)</w:t>
            </w:r>
          </w:p>
          <w:p>
            <w:pPr>
              <w:pStyle w:val="Compact"/>
              <w:jc w:val="center"/>
            </w:pPr>
            <w:r>
              <w:drawing>
                <wp:inline>
                  <wp:extent cx="5969000" cy="3581400"/>
                  <wp:effectExtent b="0" l="0" r="0" t="0"/>
                  <wp:docPr descr="" title="" id="384" name="Picture"/>
                  <a:graphic>
                    <a:graphicData uri="http://schemas.openxmlformats.org/drawingml/2006/picture">
                      <pic:pic>
                        <pic:nvPicPr>
                          <pic:cNvPr descr="05_agriculture_files/figure-docx/fig-objectifs-elevage-1.png" id="385" name="Picture"/>
                          <pic:cNvPicPr>
                            <a:picLocks noChangeArrowheads="1" noChangeAspect="1"/>
                          </pic:cNvPicPr>
                        </pic:nvPicPr>
                        <pic:blipFill>
                          <a:blip r:embed="rId383"/>
                          <a:stretch>
                            <a:fillRect/>
                          </a:stretch>
                        </pic:blipFill>
                        <pic:spPr bwMode="auto">
                          <a:xfrm>
                            <a:off x="0" y="0"/>
                            <a:ext cx="5969000" cy="3581400"/>
                          </a:xfrm>
                          <a:prstGeom prst="rect">
                            <a:avLst/>
                          </a:prstGeom>
                          <a:noFill/>
                          <a:ln w="9525">
                            <a:noFill/>
                            <a:headEnd/>
                            <a:tailEnd/>
                          </a:ln>
                        </pic:spPr>
                      </pic:pic>
                    </a:graphicData>
                  </a:graphic>
                </wp:inline>
              </w:drawing>
            </w:r>
          </w:p>
          <w:bookmarkEnd w:id="386"/>
        </w:tc>
      </w:tr>
    </w:tbl>
    <w:bookmarkEnd w:id="387"/>
    <w:bookmarkStart w:id="393" w:name="ventes-et-pertes-danimaux"/>
    <w:p>
      <w:pPr>
        <w:pStyle w:val="Titre3"/>
      </w:pPr>
      <w:r>
        <w:t xml:space="preserve">5.2.4 Ventes et pertes d’animaux</w:t>
      </w:r>
    </w:p>
    <w:p>
      <w:pPr>
        <w:pStyle w:val="FirstParagraph"/>
      </w:pPr>
      <w:r>
        <w:t xml:space="preserve">La dynamique du cheptel dépend des entrées (naissances, achats) et des sorties (ventes, pertes, abattages). Les pertes d’animaux, liées aux maladies, au vol ou aux catastrophes naturelles, représentent un risque économique majeur pour les éleveurs.</w:t>
      </w:r>
    </w:p>
    <w:tbl>
      <w:tblPr>
        <w:tblStyle w:val="Table"/>
        <w:tblW w:type="pct" w:w="5000"/>
        <w:tblLayout w:type="fixed"/>
        <w:tblLook w:firstRow="0" w:lastRow="0" w:firstColumn="0" w:lastColumn="0" w:noHBand="0" w:noVBand="0" w:val="0000"/>
      </w:tblPr>
      <w:tblGrid>
        <w:gridCol w:w="7920"/>
      </w:tblGrid>
      <w:tr>
        <w:tc>
          <w:tcPr/>
          <w:bookmarkStart w:id="388" w:name="tbl-ventes-elevage"/>
          <w:p>
            <w:pPr>
              <w:jc w:val="center"/>
            </w:pPr>
            <w:pPr>
              <w:jc w:val="left"/>
              <w:spacing w:before="200"/>
              <w:pStyle w:val="ImageCaption"/>
            </w:pPr>
            <w:r>
              <w:t xml:space="preserve">Table 5.8: Ventes d’animaux par observatoire</w:t>
            </w:r>
          </w:p>
          <w:bookmarkEnd w:id="388"/>
        </w:tc>
      </w:tr>
    </w:tbl>
    <w:tbl>
      <w:tblPr>
        <w:tblStyle w:val="Table"/>
        <w:tblW w:type="pct" w:w="5000"/>
        <w:tblLayout w:type="fixed"/>
        <w:tblLook w:firstRow="0" w:lastRow="0" w:firstColumn="0" w:lastColumn="0" w:noHBand="0" w:noVBand="0" w:val="0000"/>
      </w:tblPr>
      <w:tblGrid>
        <w:gridCol w:w="7920"/>
      </w:tblGrid>
      <w:tr>
        <w:tc>
          <w:tcPr/>
          <w:bookmarkStart w:id="392" w:name="fig-pertes-elevage"/>
          <w:p>
            <w:pPr>
              <w:jc w:val="center"/>
            </w:pPr>
            <w:pPr>
              <w:jc w:val="left"/>
              <w:spacing w:before="200"/>
              <w:pStyle w:val="ImageCaption"/>
            </w:pPr>
            <w:r>
              <w:t xml:space="preserve">Figure 5.19: Ménages ayant subi des pertes de bétail</w:t>
            </w:r>
          </w:p>
          <w:p>
            <w:pPr>
              <w:pStyle w:val="Compact"/>
              <w:jc w:val="center"/>
            </w:pPr>
            <w:r>
              <w:drawing>
                <wp:inline>
                  <wp:extent cx="5969000" cy="6632222"/>
                  <wp:effectExtent b="0" l="0" r="0" t="0"/>
                  <wp:docPr descr="" title="" id="390" name="Picture"/>
                  <a:graphic>
                    <a:graphicData uri="http://schemas.openxmlformats.org/drawingml/2006/picture">
                      <pic:pic>
                        <pic:nvPicPr>
                          <pic:cNvPr descr="05_agriculture_files/figure-docx/fig-pertes-elevage-1.png" id="391" name="Picture"/>
                          <pic:cNvPicPr>
                            <a:picLocks noChangeArrowheads="1" noChangeAspect="1"/>
                          </pic:cNvPicPr>
                        </pic:nvPicPr>
                        <pic:blipFill>
                          <a:blip r:embed="rId389"/>
                          <a:stretch>
                            <a:fillRect/>
                          </a:stretch>
                        </pic:blipFill>
                        <pic:spPr bwMode="auto">
                          <a:xfrm>
                            <a:off x="0" y="0"/>
                            <a:ext cx="5969000" cy="6632222"/>
                          </a:xfrm>
                          <a:prstGeom prst="rect">
                            <a:avLst/>
                          </a:prstGeom>
                          <a:noFill/>
                          <a:ln w="9525">
                            <a:noFill/>
                            <a:headEnd/>
                            <a:tailEnd/>
                          </a:ln>
                        </pic:spPr>
                      </pic:pic>
                    </a:graphicData>
                  </a:graphic>
                </wp:inline>
              </w:drawing>
            </w:r>
          </w:p>
          <w:bookmarkEnd w:id="392"/>
        </w:tc>
      </w:tr>
    </w:tbl>
    <w:bookmarkEnd w:id="393"/>
    <w:bookmarkStart w:id="397" w:name="produits-de-lélevage"/>
    <w:p>
      <w:pPr>
        <w:pStyle w:val="Titre3"/>
      </w:pPr>
      <w:r>
        <w:t xml:space="preserve">5.2.5 Produits de l’élevage</w:t>
      </w:r>
    </w:p>
    <w:p>
      <w:pPr>
        <w:pStyle w:val="FirstParagraph"/>
      </w:pPr>
      <w:r>
        <w:t xml:space="preserve">Outre la vente d’animaux sur pied, l’élevage génère des produits dérivés (lait, œufs, miel, fumier) qui contribuent à l’alimentation et aux revenus du ménage.</w:t>
      </w:r>
    </w:p>
    <w:p>
      <w:pPr>
        <w:pStyle w:val="CaptionedFigure"/>
      </w:pPr>
      <w:r>
        <w:drawing>
          <wp:inline>
            <wp:extent cx="4620126" cy="5544151"/>
            <wp:effectExtent b="0" l="0" r="0" t="0"/>
            <wp:docPr descr="Produits de l’élevage déclarés par les ménages" title="" id="395" name="Picture"/>
            <a:graphic>
              <a:graphicData uri="http://schemas.openxmlformats.org/drawingml/2006/picture">
                <pic:pic>
                  <pic:nvPicPr>
                    <pic:cNvPr descr="05_agriculture_files/figure-docx/fig_produits_elevage-1.png" id="396" name="Picture"/>
                    <pic:cNvPicPr>
                      <a:picLocks noChangeArrowheads="1" noChangeAspect="1"/>
                    </pic:cNvPicPr>
                  </pic:nvPicPr>
                  <pic:blipFill>
                    <a:blip r:embed="rId394"/>
                    <a:stretch>
                      <a:fillRect/>
                    </a:stretch>
                  </pic:blipFill>
                  <pic:spPr bwMode="auto">
                    <a:xfrm>
                      <a:off x="0" y="0"/>
                      <a:ext cx="4620126" cy="5544151"/>
                    </a:xfrm>
                    <a:prstGeom prst="rect">
                      <a:avLst/>
                    </a:prstGeom>
                    <a:noFill/>
                    <a:ln w="9525">
                      <a:noFill/>
                      <a:headEnd/>
                      <a:tailEnd/>
                    </a:ln>
                  </pic:spPr>
                </pic:pic>
              </a:graphicData>
            </a:graphic>
          </wp:inline>
        </w:drawing>
      </w:r>
    </w:p>
    <w:p>
      <w:pPr>
        <w:pStyle w:val="ImageCaption"/>
      </w:pPr>
      <w:r>
        <w:t xml:space="preserve">Produits de l’élevage déclarés par les ménages</w:t>
      </w:r>
    </w:p>
    <w:bookmarkEnd w:id="397"/>
    <w:bookmarkEnd w:id="398"/>
    <w:bookmarkStart w:id="408" w:name="sec-chasse-peche"/>
    <w:p>
      <w:pPr>
        <w:pStyle w:val="Titre2"/>
      </w:pPr>
      <w:r>
        <w:t xml:space="preserve">5.3 Chasse et pêche</w:t>
      </w:r>
    </w:p>
    <w:p>
      <w:pPr>
        <w:pStyle w:val="FirstParagraph"/>
      </w:pPr>
      <w:r>
        <w:t xml:space="preserve">La chasse et la pêche constituent des activités complémentaires, souvent saisonnières, qui contribuent à la diversification alimentaire et au revenu, en particulier dans les zones proches des plans d’eau.</w:t>
      </w:r>
    </w:p>
    <w:p>
      <w:pPr>
        <w:pStyle w:val="Corpsdetexte"/>
      </w:pPr>
      <w:r>
        <w:t xml:space="preserve">A Marovoay, Ces activités sont pratiquées par 34.5 % des ménages.</w:t>
      </w:r>
    </w:p>
    <w:tbl>
      <w:tblPr>
        <w:tblStyle w:val="Table"/>
        <w:tblW w:type="pct" w:w="5000"/>
        <w:tblLayout w:type="fixed"/>
        <w:tblLook w:firstRow="0" w:lastRow="0" w:firstColumn="0" w:lastColumn="0" w:noHBand="0" w:noVBand="0" w:val="0000"/>
      </w:tblPr>
      <w:tblGrid>
        <w:gridCol w:w="7920"/>
      </w:tblGrid>
      <w:tr>
        <w:tc>
          <w:tcPr/>
          <w:bookmarkStart w:id="399" w:name="tbl-chasse-peche-pratique"/>
          <w:p>
            <w:pPr>
              <w:jc w:val="center"/>
            </w:pPr>
            <w:pPr>
              <w:jc w:val="left"/>
              <w:spacing w:before="200"/>
              <w:pStyle w:val="ImageCaption"/>
            </w:pPr>
            <w:r>
              <w:t xml:space="preserve">Table 5.9: Taux de pratique de la chasse et de la pêche</w:t>
            </w:r>
          </w:p>
          <w:bookmarkEnd w:id="399"/>
        </w:tc>
      </w:tr>
    </w:tbl>
    <w:tbl>
      <w:tblPr>
        <w:tblStyle w:val="Table"/>
        <w:tblW w:type="pct" w:w="5000"/>
        <w:tblLayout w:type="fixed"/>
        <w:tblLook w:firstRow="0" w:lastRow="0" w:firstColumn="0" w:lastColumn="0" w:noHBand="0" w:noVBand="0" w:val="0000"/>
      </w:tblPr>
      <w:tblGrid>
        <w:gridCol w:w="7920"/>
      </w:tblGrid>
      <w:tr>
        <w:tc>
          <w:tcPr/>
          <w:bookmarkStart w:id="403" w:name="fig-chasse-especes"/>
          <w:p>
            <w:pPr>
              <w:jc w:val="center"/>
            </w:pPr>
            <w:pPr>
              <w:jc w:val="left"/>
              <w:spacing w:before="200"/>
              <w:pStyle w:val="ImageCaption"/>
            </w:pPr>
            <w:r>
              <w:t xml:space="preserve">Figure 5.20: Principales espèces chassées/pêchées</w:t>
            </w:r>
          </w:p>
          <w:p>
            <w:pPr>
              <w:pStyle w:val="Compact"/>
              <w:jc w:val="center"/>
            </w:pPr>
            <w:r>
              <w:drawing>
                <wp:inline>
                  <wp:extent cx="5969000" cy="5969000"/>
                  <wp:effectExtent b="0" l="0" r="0" t="0"/>
                  <wp:docPr descr="" title="" id="401" name="Picture"/>
                  <a:graphic>
                    <a:graphicData uri="http://schemas.openxmlformats.org/drawingml/2006/picture">
                      <pic:pic>
                        <pic:nvPicPr>
                          <pic:cNvPr descr="05_agriculture_files/figure-docx/fig-chasse-especes-1.png" id="402" name="Picture"/>
                          <pic:cNvPicPr>
                            <a:picLocks noChangeArrowheads="1" noChangeAspect="1"/>
                          </pic:cNvPicPr>
                        </pic:nvPicPr>
                        <pic:blipFill>
                          <a:blip r:embed="rId400"/>
                          <a:stretch>
                            <a:fillRect/>
                          </a:stretch>
                        </pic:blipFill>
                        <pic:spPr bwMode="auto">
                          <a:xfrm>
                            <a:off x="0" y="0"/>
                            <a:ext cx="5969000" cy="5969000"/>
                          </a:xfrm>
                          <a:prstGeom prst="rect">
                            <a:avLst/>
                          </a:prstGeom>
                          <a:noFill/>
                          <a:ln w="9525">
                            <a:noFill/>
                            <a:headEnd/>
                            <a:tailEnd/>
                          </a:ln>
                        </pic:spPr>
                      </pic:pic>
                    </a:graphicData>
                  </a:graphic>
                </wp:inline>
              </w:drawing>
            </w:r>
          </w:p>
          <w:bookmarkEnd w:id="403"/>
        </w:tc>
      </w:tr>
    </w:tbl>
    <w:tbl>
      <w:tblPr>
        <w:tblStyle w:val="Table"/>
        <w:tblW w:type="pct" w:w="5000"/>
        <w:tblLayout w:type="fixed"/>
        <w:tblLook w:firstRow="0" w:lastRow="0" w:firstColumn="0" w:lastColumn="0" w:noHBand="0" w:noVBand="0" w:val="0000"/>
      </w:tblPr>
      <w:tblGrid>
        <w:gridCol w:w="7920"/>
      </w:tblGrid>
      <w:tr>
        <w:tc>
          <w:tcPr/>
          <w:bookmarkStart w:id="407" w:name="fig-chasse-raison"/>
          <w:p>
            <w:pPr>
              <w:jc w:val="center"/>
            </w:pPr>
            <w:pPr>
              <w:jc w:val="left"/>
              <w:spacing w:before="200"/>
              <w:pStyle w:val="ImageCaption"/>
            </w:pPr>
            <w:r>
              <w:t xml:space="preserve">Figure 5.21: Raisons de la chasse/pêche par observatoire</w:t>
            </w:r>
          </w:p>
          <w:p>
            <w:pPr>
              <w:pStyle w:val="Compact"/>
              <w:jc w:val="center"/>
            </w:pPr>
            <w:r>
              <w:drawing>
                <wp:inline>
                  <wp:extent cx="5969000" cy="4919761"/>
                  <wp:effectExtent b="0" l="0" r="0" t="0"/>
                  <wp:docPr descr="" title="" id="405" name="Picture"/>
                  <a:graphic>
                    <a:graphicData uri="http://schemas.openxmlformats.org/drawingml/2006/picture">
                      <pic:pic>
                        <pic:nvPicPr>
                          <pic:cNvPr descr="05_agriculture_files/figure-docx/fig-chasse-raison-1.png" id="406" name="Picture"/>
                          <pic:cNvPicPr>
                            <a:picLocks noChangeArrowheads="1" noChangeAspect="1"/>
                          </pic:cNvPicPr>
                        </pic:nvPicPr>
                        <pic:blipFill>
                          <a:blip r:embed="rId404"/>
                          <a:stretch>
                            <a:fillRect/>
                          </a:stretch>
                        </pic:blipFill>
                        <pic:spPr bwMode="auto">
                          <a:xfrm>
                            <a:off x="0" y="0"/>
                            <a:ext cx="5969000" cy="4919761"/>
                          </a:xfrm>
                          <a:prstGeom prst="rect">
                            <a:avLst/>
                          </a:prstGeom>
                          <a:noFill/>
                          <a:ln w="9525">
                            <a:noFill/>
                            <a:headEnd/>
                            <a:tailEnd/>
                          </a:ln>
                        </pic:spPr>
                      </pic:pic>
                    </a:graphicData>
                  </a:graphic>
                </wp:inline>
              </w:drawing>
            </w:r>
          </w:p>
          <w:bookmarkEnd w:id="407"/>
        </w:tc>
      </w:tr>
    </w:tbl>
    <w:bookmarkEnd w:id="408"/>
    <w:bookmarkStart w:id="421" w:name="sec-main-oeuvre"/>
    <w:p>
      <w:pPr>
        <w:pStyle w:val="Titre2"/>
      </w:pPr>
      <w:r>
        <w:t xml:space="preserve">5.4 Main d’oeuvre agricole</w:t>
      </w:r>
    </w:p>
    <w:bookmarkStart w:id="410" w:name="emploi-de-main-doeuvre"/>
    <w:p>
      <w:pPr>
        <w:pStyle w:val="Titre3"/>
      </w:pPr>
      <w:r>
        <w:t xml:space="preserve">5.4.1 Emploi de main d’oeuvre</w:t>
      </w:r>
    </w:p>
    <w:p>
      <w:pPr>
        <w:pStyle w:val="FirstParagraph"/>
      </w:pPr>
      <w:r>
        <w:t xml:space="preserve">L’ampleur du recours à la main d’œuvre extérieure dépend de la superficie cultivée, du type de culture et de la disponibilité de main d’œuvre familiale.</w:t>
      </w:r>
    </w:p>
    <w:p>
      <w:pPr>
        <w:pStyle w:val="Corpsdetexte"/>
      </w:pPr>
      <w:r>
        <w:t xml:space="preserve">A Marovoay, Le recours à la main d’œuvre extérieure (salariée ou par entraide) concerne 58.8 % des ménages.</w:t>
      </w:r>
    </w:p>
    <w:tbl>
      <w:tblPr>
        <w:tblStyle w:val="Table"/>
        <w:tblW w:type="pct" w:w="5000"/>
        <w:tblLayout w:type="fixed"/>
        <w:tblLook w:firstRow="0" w:lastRow="0" w:firstColumn="0" w:lastColumn="0" w:noHBand="0" w:noVBand="0" w:val="0000"/>
      </w:tblPr>
      <w:tblGrid>
        <w:gridCol w:w="7920"/>
      </w:tblGrid>
      <w:tr>
        <w:tc>
          <w:tcPr/>
          <w:bookmarkStart w:id="409" w:name="tbl-main-oeuvre-pratique"/>
          <w:p>
            <w:pPr>
              <w:jc w:val="center"/>
            </w:pPr>
            <w:pPr>
              <w:jc w:val="left"/>
              <w:spacing w:before="200"/>
              <w:pStyle w:val="ImageCaption"/>
            </w:pPr>
            <w:r>
              <w:t xml:space="preserve">Table 5.10: Recours à la main d’oeuvre agricole</w:t>
            </w:r>
          </w:p>
          <w:bookmarkEnd w:id="409"/>
        </w:tc>
      </w:tr>
    </w:tbl>
    <w:bookmarkEnd w:id="410"/>
    <w:bookmarkStart w:id="412" w:name="Xebc72c385258cc8096a393c9cba435b9f045e2a"/>
    <w:p>
      <w:pPr>
        <w:pStyle w:val="Titre3"/>
      </w:pPr>
      <w:r>
        <w:t xml:space="preserve">5.4.2 Opérations nécessitant de la main d’oeuvre salariée</w:t>
      </w:r>
    </w:p>
    <w:p>
      <w:pPr>
        <w:pStyle w:val="FirstParagraph"/>
      </w:pPr>
      <w:r>
        <w:t xml:space="preserve">Les trois opérations rizicoles principales (travail du sol, sarclage, moisson) mobilisent des volumes de main d’œuvre différents. Le salaire journalier et le recours à l’entraide varient sensiblement selon l’opération et l’observatoire.</w:t>
      </w:r>
    </w:p>
    <w:tbl>
      <w:tblPr>
        <w:tblStyle w:val="Table"/>
        <w:tblW w:type="pct" w:w="5000"/>
        <w:tblLayout w:type="fixed"/>
        <w:tblLook w:firstRow="0" w:lastRow="0" w:firstColumn="0" w:lastColumn="0" w:noHBand="0" w:noVBand="0" w:val="0000"/>
      </w:tblPr>
      <w:tblGrid>
        <w:gridCol w:w="7920"/>
      </w:tblGrid>
      <w:tr>
        <w:tc>
          <w:tcPr/>
          <w:bookmarkStart w:id="411" w:name="tbl-operations-mo"/>
          <w:p>
            <w:pPr>
              <w:jc w:val="center"/>
            </w:pPr>
            <w:pPr>
              <w:jc w:val="left"/>
              <w:spacing w:before="200"/>
              <w:pStyle w:val="ImageCaption"/>
            </w:pPr>
            <w:r>
              <w:t xml:space="preserve">Table 5.11: Main d’œuvre salariée et entraide par opération agricole</w:t>
            </w:r>
          </w:p>
          <w:bookmarkEnd w:id="411"/>
        </w:tc>
      </w:tr>
    </w:tbl>
    <w:bookmarkEnd w:id="412"/>
    <w:bookmarkStart w:id="414" w:name="main-doeuvre-permanente"/>
    <w:p>
      <w:pPr>
        <w:pStyle w:val="Titre3"/>
      </w:pPr>
      <w:r>
        <w:t xml:space="preserve">5.4.3 Main d’oeuvre permanente</w:t>
      </w:r>
    </w:p>
    <w:p>
      <w:pPr>
        <w:pStyle w:val="FirstParagraph"/>
      </w:pPr>
      <w:r>
        <w:t xml:space="preserve">Le recours à la main d’œuvre permanente (salariés employés à l’année) reste minoritaire et concerne principalement les exploitations les plus grandes. Les conditions d’emploi (salaire, logement, nourriture) reflètent le marché du travail agricole local.</w:t>
      </w:r>
    </w:p>
    <w:tbl>
      <w:tblPr>
        <w:tblStyle w:val="Table"/>
        <w:tblW w:type="pct" w:w="5000"/>
        <w:tblLayout w:type="fixed"/>
        <w:tblLook w:firstRow="0" w:lastRow="0" w:firstColumn="0" w:lastColumn="0" w:noHBand="0" w:noVBand="0" w:val="0000"/>
      </w:tblPr>
      <w:tblGrid>
        <w:gridCol w:w="7920"/>
      </w:tblGrid>
      <w:tr>
        <w:tc>
          <w:tcPr/>
          <w:bookmarkStart w:id="413" w:name="tbl-main-oeuvre-perm"/>
          <w:p>
            <w:pPr>
              <w:jc w:val="center"/>
            </w:pPr>
            <w:pPr>
              <w:jc w:val="left"/>
              <w:spacing w:before="200"/>
              <w:pStyle w:val="ImageCaption"/>
            </w:pPr>
            <w:r>
              <w:t xml:space="preserve">Table 5.12: Caractéristiques de la main d’oeuvre permanente</w:t>
            </w:r>
          </w:p>
          <w:bookmarkEnd w:id="413"/>
        </w:tc>
      </w:tr>
    </w:tbl>
    <w:bookmarkEnd w:id="414"/>
    <w:bookmarkStart w:id="420" w:name="Xb70e75093827b2d42e129c8e92fb16121bf4c51"/>
    <w:p>
      <w:pPr>
        <w:pStyle w:val="Titre3"/>
      </w:pPr>
      <w:r>
        <w:t xml:space="preserve">5.4.4 Cultures non rizicoles par quintile de revenu</w:t>
      </w:r>
    </w:p>
    <w:p>
      <w:pPr>
        <w:pStyle w:val="FirstParagraph"/>
      </w:pPr>
      <w:r>
        <w:t xml:space="preserve">Les ménages les plus aisés cultivent-ils des cultures différentes ? On croise ici les familles de cultures avec les quintiles de revenu courant du ménage.</w:t>
      </w:r>
    </w:p>
    <w:tbl>
      <w:tblPr>
        <w:tblStyle w:val="Table"/>
        <w:tblW w:type="pct" w:w="5000"/>
        <w:tblLayout w:type="fixed"/>
        <w:tblLook w:firstRow="0" w:lastRow="0" w:firstColumn="0" w:lastColumn="0" w:noHBand="0" w:noVBand="0" w:val="0000"/>
      </w:tblPr>
      <w:tblGrid>
        <w:gridCol w:w="7920"/>
      </w:tblGrid>
      <w:tr>
        <w:tc>
          <w:tcPr/>
          <w:bookmarkStart w:id="418" w:name="fig-cultures-quintile"/>
          <w:p>
            <w:pPr>
              <w:jc w:val="center"/>
            </w:pPr>
            <w:pPr>
              <w:jc w:val="left"/>
              <w:spacing w:before="200"/>
              <w:pStyle w:val="ImageCaption"/>
            </w:pPr>
            <w:r>
              <w:t xml:space="preserve">Figure 5.22: Familles de cultures non rizicoles pratiquées selon le quintile de revenu</w:t>
            </w:r>
          </w:p>
          <w:p>
            <w:pPr>
              <w:pStyle w:val="Compact"/>
              <w:jc w:val="center"/>
            </w:pPr>
            <w:r>
              <w:drawing>
                <wp:inline>
                  <wp:extent cx="5969000" cy="3581400"/>
                  <wp:effectExtent b="0" l="0" r="0" t="0"/>
                  <wp:docPr descr="" title="" id="416" name="Picture"/>
                  <a:graphic>
                    <a:graphicData uri="http://schemas.openxmlformats.org/drawingml/2006/picture">
                      <pic:pic>
                        <pic:nvPicPr>
                          <pic:cNvPr descr="05_agriculture_files/figure-docx/fig-cultures-quintile-1.png" id="417" name="Picture"/>
                          <pic:cNvPicPr>
                            <a:picLocks noChangeArrowheads="1" noChangeAspect="1"/>
                          </pic:cNvPicPr>
                        </pic:nvPicPr>
                        <pic:blipFill>
                          <a:blip r:embed="rId415"/>
                          <a:stretch>
                            <a:fillRect/>
                          </a:stretch>
                        </pic:blipFill>
                        <pic:spPr bwMode="auto">
                          <a:xfrm>
                            <a:off x="0" y="0"/>
                            <a:ext cx="5969000" cy="3581400"/>
                          </a:xfrm>
                          <a:prstGeom prst="rect">
                            <a:avLst/>
                          </a:prstGeom>
                          <a:noFill/>
                          <a:ln w="9525">
                            <a:noFill/>
                            <a:headEnd/>
                            <a:tailEnd/>
                          </a:ln>
                        </pic:spPr>
                      </pic:pic>
                    </a:graphicData>
                  </a:graphic>
                </wp:inline>
              </w:drawing>
            </w:r>
          </w:p>
          <w:bookmarkEnd w:id="418"/>
        </w:tc>
      </w:tr>
    </w:tbl>
    <w:tbl>
      <w:tblPr>
        <w:tblStyle w:val="Table"/>
        <w:tblW w:type="pct" w:w="5000"/>
        <w:tblLayout w:type="fixed"/>
        <w:tblLook w:firstRow="0" w:lastRow="0" w:firstColumn="0" w:lastColumn="0" w:noHBand="0" w:noVBand="0" w:val="0000"/>
      </w:tblPr>
      <w:tblGrid>
        <w:gridCol w:w="7920"/>
      </w:tblGrid>
      <w:tr>
        <w:tc>
          <w:tcPr/>
          <w:bookmarkStart w:id="419" w:name="tbl-cultures-quintile"/>
          <w:p>
            <w:pPr>
              <w:jc w:val="center"/>
            </w:pPr>
            <w:pPr>
              <w:jc w:val="left"/>
              <w:spacing w:before="200"/>
              <w:pStyle w:val="ImageCaption"/>
            </w:pPr>
            <w:r>
              <w:t xml:space="preserve">Table 5.13: Nombre moyen de cultures non rizicoles par ménage et quintile de revenu</w:t>
            </w:r>
          </w:p>
          <w:bookmarkEnd w:id="419"/>
        </w:tc>
      </w:tr>
    </w:tbl>
    <w:bookmarkEnd w:id="420"/>
    <w:bookmarkEnd w:id="421"/>
    <w:bookmarkEnd w:id="422"/>
    <w:bookmarkStart w:id="475" w:name="sécurité-alimentaire"/>
    <w:p>
      <w:pPr>
        <w:pStyle w:val="Titre1"/>
      </w:pPr>
      <w:r>
        <w:t xml:space="preserve">6. Sécurité alimentaire</w:t>
      </w:r>
    </w:p>
    <w:p>
      <w:pPr>
        <w:pStyle w:val="FirstParagraph"/>
      </w:pPr>
      <w:r>
        <w:t xml:space="preserve">Ce chapitre traite de la sécurité alimentaire des ménages des observatoires ruraux d’Alaotra et de Marovoay. Il aborde trois dimensions : la période de soudure et le stress alimentaire, l’alimentation de base hors et pendant la soudure, et les stratégies d’adaptation adoptées par les ménages.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423" name="Picture"/>
                  <a:graphic>
                    <a:graphicData uri="http://schemas.openxmlformats.org/drawingml/2006/picture">
                      <pic:pic>
                        <pic:nvPicPr>
                          <pic:cNvPr descr="C:\Users\fbede\AppData\Local\Programs\Quarto\share\formats\docx\warning.png" id="424"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455" w:name="disponibilité-alimentaire"/>
    <w:p>
      <w:pPr>
        <w:pStyle w:val="Titre2"/>
      </w:pPr>
      <w:r>
        <w:t xml:space="preserve">6.1 Disponibilité alimentaire</w:t>
      </w:r>
    </w:p>
    <w:p>
      <w:pPr>
        <w:pStyle w:val="FirstParagraph"/>
      </w:pPr>
      <w:r>
        <w:t xml:space="preserve">La sécurité alimentaire des ménages ruraux est étroitement liée au calendrier agricole et à la gestion des stocks.</w:t>
      </w:r>
    </w:p>
    <w:p>
      <w:pPr>
        <w:pStyle w:val="Corpsdetexte"/>
      </w:pPr>
      <w:r>
        <w:t xml:space="preserve">A Marovoay, 97.3 % des ménages déclarent au moins un mois de soudure.</w:t>
      </w:r>
    </w:p>
    <w:bookmarkStart w:id="438" w:name="période-de-soudure"/>
    <w:p>
      <w:pPr>
        <w:pStyle w:val="Titre3"/>
      </w:pPr>
      <w:r>
        <w:t xml:space="preserve">6.1.1 Période de soudure</w:t>
      </w:r>
    </w:p>
    <w:p>
      <w:pPr>
        <w:pStyle w:val="FirstParagraph"/>
      </w:pPr>
      <w:r>
        <w:t xml:space="preserve">La période de soudure désigne les mois durant lesquels les stocks alimentaires du ménage sont insuffisants pour couvrir ses besoins.</w:t>
      </w:r>
    </w:p>
    <w:p>
      <w:pPr>
        <w:pStyle w:val="Corpsdetexte"/>
      </w:pPr>
      <w:r>
        <w:t xml:space="preserve">A Marovoay, La soudure dure en moyenne 2.2 mois (médiane : 2).</w:t>
      </w:r>
    </w:p>
    <w:bookmarkStart w:id="425" w:name="durée-de-la-soudure-par-observatoire"/>
    <w:p>
      <w:pPr>
        <w:pStyle w:val="Titre4"/>
      </w:pPr>
      <w:r>
        <w:t xml:space="preserve">6.1.1.1 Durée de la soudure par observatoire</w:t>
      </w:r>
    </w:p>
    <w:bookmarkEnd w:id="425"/>
    <w:bookmarkStart w:id="429" w:name="X7672ed32ab511b42dc575aff782f6587708610f"/>
    <w:p>
      <w:pPr>
        <w:pStyle w:val="Titre4"/>
      </w:pPr>
      <w:r>
        <w:t xml:space="preserve">6.1.1.2 Durée de la soudure par hameau et observatoire</w:t>
      </w:r>
    </w:p>
    <w:p>
      <w:pPr>
        <w:pStyle w:val="CaptionedFigure"/>
      </w:pPr>
      <w:r>
        <w:drawing>
          <wp:inline>
            <wp:extent cx="4620126" cy="3696101"/>
            <wp:effectExtent b="0" l="0" r="0" t="0"/>
            <wp:docPr descr="Durée moyenne de la soudure par hameau" title="" id="427" name="Picture"/>
            <a:graphic>
              <a:graphicData uri="http://schemas.openxmlformats.org/drawingml/2006/picture">
                <pic:pic>
                  <pic:nvPicPr>
                    <pic:cNvPr descr="06_securite_alimentaire_files/figure-docx/fig_soudure_hameau-1.png" id="428" name="Picture"/>
                    <pic:cNvPicPr>
                      <a:picLocks noChangeArrowheads="1" noChangeAspect="1"/>
                    </pic:cNvPicPr>
                  </pic:nvPicPr>
                  <pic:blipFill>
                    <a:blip r:embed="rId42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Durée moyenne de la soudure par hameau</w:t>
      </w:r>
    </w:p>
    <w:bookmarkEnd w:id="429"/>
    <w:bookmarkStart w:id="433" w:name="X95464c5386b49ecd39248ef20943633679142d7"/>
    <w:p>
      <w:pPr>
        <w:pStyle w:val="Titre4"/>
      </w:pPr>
      <w:r>
        <w:t xml:space="preserve">6.1.1.3 Distribution du nombre de mois de soudure</w:t>
      </w:r>
    </w:p>
    <w:p>
      <w:pPr>
        <w:pStyle w:val="FirstParagraph"/>
      </w:pPr>
      <w:r>
        <w:drawing>
          <wp:inline>
            <wp:extent cx="4620126" cy="3696101"/>
            <wp:effectExtent b="0" l="0" r="0" t="0"/>
            <wp:docPr descr="" title="" id="431" name="Picture"/>
            <a:graphic>
              <a:graphicData uri="http://schemas.openxmlformats.org/drawingml/2006/picture">
                <pic:pic>
                  <pic:nvPicPr>
                    <pic:cNvPr descr="06_securite_alimentaire_files/figure-docx/g1_soudure_distrib-1.png" id="432" name="Picture"/>
                    <pic:cNvPicPr>
                      <a:picLocks noChangeArrowheads="1" noChangeAspect="1"/>
                    </pic:cNvPicPr>
                  </pic:nvPicPr>
                  <pic:blipFill>
                    <a:blip r:embed="rId430"/>
                    <a:stretch>
                      <a:fillRect/>
                    </a:stretch>
                  </pic:blipFill>
                  <pic:spPr bwMode="auto">
                    <a:xfrm>
                      <a:off x="0" y="0"/>
                      <a:ext cx="4620126" cy="3696101"/>
                    </a:xfrm>
                    <a:prstGeom prst="rect">
                      <a:avLst/>
                    </a:prstGeom>
                    <a:noFill/>
                    <a:ln w="9525">
                      <a:noFill/>
                      <a:headEnd/>
                      <a:tailEnd/>
                    </a:ln>
                  </pic:spPr>
                </pic:pic>
              </a:graphicData>
            </a:graphic>
          </wp:inline>
        </w:drawing>
      </w:r>
    </w:p>
    <w:bookmarkEnd w:id="433"/>
    <w:bookmarkStart w:id="437" w:name="calendrier-de-la-soudure"/>
    <w:p>
      <w:pPr>
        <w:pStyle w:val="Titre4"/>
      </w:pPr>
      <w:r>
        <w:t xml:space="preserve">6.1.1.4 Calendrier de la soudure</w:t>
      </w:r>
    </w:p>
    <w:p>
      <w:pPr>
        <w:pStyle w:val="FirstParagraph"/>
      </w:pPr>
      <w:r>
        <w:drawing>
          <wp:inline>
            <wp:extent cx="4620126" cy="3696101"/>
            <wp:effectExtent b="0" l="0" r="0" t="0"/>
            <wp:docPr descr="" title="" id="435" name="Picture"/>
            <a:graphic>
              <a:graphicData uri="http://schemas.openxmlformats.org/drawingml/2006/picture">
                <pic:pic>
                  <pic:nvPicPr>
                    <pic:cNvPr descr="06_securite_alimentaire_files/figure-docx/g2_calendrier_soudure-1.png" id="436" name="Picture"/>
                    <pic:cNvPicPr>
                      <a:picLocks noChangeArrowheads="1" noChangeAspect="1"/>
                    </pic:cNvPicPr>
                  </pic:nvPicPr>
                  <pic:blipFill>
                    <a:blip r:embed="rId434"/>
                    <a:stretch>
                      <a:fillRect/>
                    </a:stretch>
                  </pic:blipFill>
                  <pic:spPr bwMode="auto">
                    <a:xfrm>
                      <a:off x="0" y="0"/>
                      <a:ext cx="4620126" cy="3696101"/>
                    </a:xfrm>
                    <a:prstGeom prst="rect">
                      <a:avLst/>
                    </a:prstGeom>
                    <a:noFill/>
                    <a:ln w="9525">
                      <a:noFill/>
                      <a:headEnd/>
                      <a:tailEnd/>
                    </a:ln>
                  </pic:spPr>
                </pic:pic>
              </a:graphicData>
            </a:graphic>
          </wp:inline>
        </w:drawing>
      </w:r>
    </w:p>
    <w:bookmarkEnd w:id="437"/>
    <w:bookmarkEnd w:id="438"/>
    <w:bookmarkStart w:id="446" w:name="stress-alimentaire"/>
    <w:p>
      <w:pPr>
        <w:pStyle w:val="Titre3"/>
      </w:pPr>
      <w:r>
        <w:t xml:space="preserve">6.1.2 Stress alimentaire</w:t>
      </w:r>
    </w:p>
    <w:p>
      <w:pPr>
        <w:pStyle w:val="FirstParagraph"/>
      </w:pPr>
      <w:r>
        <w:t xml:space="preserve">Le stress alimentaire reflète les mois durant lesquels le ménage éprouve des difficultés à se nourrir correctement, que ce soit en quantité ou en qualité. Sa durée est généralement supérieure à celle de la soudure stricto sensu.</w:t>
      </w:r>
    </w:p>
    <w:p>
      <w:pPr>
        <w:pStyle w:val="Corpsdetexte"/>
      </w:pPr>
      <w:r>
        <w:t xml:space="preserve">A Marovoay, La durée moyenne du stress alimentaire atteint 3.3 mois.</w:t>
      </w:r>
    </w:p>
    <w:bookmarkStart w:id="439" w:name="X9a463c72b8245f9704bb79ecb2abc3d188eed1f"/>
    <w:p>
      <w:pPr>
        <w:pStyle w:val="Titre4"/>
      </w:pPr>
      <w:r>
        <w:t xml:space="preserve">6.1.2.1 Durée du stress alimentaire par observatoire</w:t>
      </w:r>
    </w:p>
    <w:bookmarkEnd w:id="439"/>
    <w:bookmarkStart w:id="440" w:name="calendrier-du-stress-alimentaire"/>
    <w:p>
      <w:pPr>
        <w:pStyle w:val="Titre4"/>
      </w:pPr>
      <w:r>
        <w:t xml:space="preserve">6.1.2.2 Calendrier du stress alimentaire</w:t>
      </w:r>
    </w:p>
    <w:bookmarkEnd w:id="440"/>
    <w:bookmarkStart w:id="445" w:name="Xccf58b071d79cc51e6dccc31b240904335e5845"/>
    <w:p>
      <w:pPr>
        <w:pStyle w:val="Titre4"/>
      </w:pPr>
      <w:r>
        <w:t xml:space="preserve">6.1.2.3 Comparaison soudure et stress alimentaire</w:t>
      </w:r>
    </w:p>
    <w:tbl>
      <w:tblPr>
        <w:tblStyle w:val="Table"/>
        <w:tblW w:type="pct" w:w="5000"/>
        <w:tblLayout w:type="fixed"/>
        <w:tblLook w:firstRow="0" w:lastRow="0" w:firstColumn="0" w:lastColumn="0" w:noHBand="0" w:noVBand="0" w:val="0000"/>
      </w:tblPr>
      <w:tblGrid>
        <w:gridCol w:w="7920"/>
      </w:tblGrid>
      <w:tr>
        <w:tc>
          <w:tcPr/>
          <w:bookmarkStart w:id="444" w:name="fig-soudure-vs-stress"/>
          <w:p>
            <w:pPr>
              <w:jc w:val="center"/>
            </w:pPr>
            <w:pPr>
              <w:jc w:val="left"/>
              <w:spacing w:before="200"/>
              <w:pStyle w:val="ImageCaption"/>
            </w:pPr>
            <w:r>
              <w:t xml:space="preserve">Figure 6.1: Comparaison soudure et stress alimentaire</w:t>
            </w:r>
          </w:p>
          <w:p>
            <w:pPr>
              <w:pStyle w:val="Compact"/>
              <w:jc w:val="center"/>
            </w:pPr>
            <w:r>
              <w:drawing>
                <wp:inline>
                  <wp:extent cx="4620126" cy="3696101"/>
                  <wp:effectExtent b="0" l="0" r="0" t="0"/>
                  <wp:docPr descr="" title="" id="442" name="Picture"/>
                  <a:graphic>
                    <a:graphicData uri="http://schemas.openxmlformats.org/drawingml/2006/picture">
                      <pic:pic>
                        <pic:nvPicPr>
                          <pic:cNvPr descr="06_securite_alimentaire_files/figure-docx/fig-soudure-vs-stress-1.png" id="443" name="Picture"/>
                          <pic:cNvPicPr>
                            <a:picLocks noChangeArrowheads="1" noChangeAspect="1"/>
                          </pic:cNvPicPr>
                        </pic:nvPicPr>
                        <pic:blipFill>
                          <a:blip r:embed="rId441"/>
                          <a:stretch>
                            <a:fillRect/>
                          </a:stretch>
                        </pic:blipFill>
                        <pic:spPr bwMode="auto">
                          <a:xfrm>
                            <a:off x="0" y="0"/>
                            <a:ext cx="4620126" cy="3696101"/>
                          </a:xfrm>
                          <a:prstGeom prst="rect">
                            <a:avLst/>
                          </a:prstGeom>
                          <a:noFill/>
                          <a:ln w="9525">
                            <a:noFill/>
                            <a:headEnd/>
                            <a:tailEnd/>
                          </a:ln>
                        </pic:spPr>
                      </pic:pic>
                    </a:graphicData>
                  </a:graphic>
                </wp:inline>
              </w:drawing>
            </w:r>
          </w:p>
          <w:bookmarkEnd w:id="444"/>
        </w:tc>
      </w:tr>
    </w:tbl>
    <w:bookmarkEnd w:id="445"/>
    <w:bookmarkEnd w:id="446"/>
    <w:bookmarkStart w:id="454" w:name="alimentation-de-base"/>
    <w:p>
      <w:pPr>
        <w:pStyle w:val="Titre3"/>
      </w:pPr>
      <w:r>
        <w:t xml:space="preserve">6.1.3 Alimentation de base</w:t>
      </w:r>
    </w:p>
    <w:p>
      <w:pPr>
        <w:pStyle w:val="FirstParagraph"/>
      </w:pPr>
      <w:r>
        <w:t xml:space="preserve">Cette section compare les aliments de base consommés aux trois repas, hors et pendant la période de soudure. Le riz constitue la base alimentaire dans les deux observatoires, mais sa place relative varie selon la saison et le site. Les substitutions opérées pendant la soudure (manioc, patate douce, maïs) témoignent des stratégies d’adaptation alimentaire des ménages.</w:t>
      </w:r>
    </w:p>
    <w:bookmarkStart w:id="447" w:name="alimentation-hors-soudure"/>
    <w:p>
      <w:pPr>
        <w:pStyle w:val="Titre4"/>
      </w:pPr>
      <w:r>
        <w:t xml:space="preserve">6.1.3.1 Alimentation hors soudure</w:t>
      </w:r>
    </w:p>
    <w:bookmarkEnd w:id="447"/>
    <w:bookmarkStart w:id="448" w:name="alimentation-pendant-la-soudure"/>
    <w:p>
      <w:pPr>
        <w:pStyle w:val="Titre4"/>
      </w:pPr>
      <w:r>
        <w:t xml:space="preserve">6.1.3.2 Alimentation pendant la soudure</w:t>
      </w:r>
    </w:p>
    <w:bookmarkEnd w:id="448"/>
    <w:bookmarkStart w:id="452" w:name="X72a9965c0dbad0a4072f515989797b1356a2468"/>
    <w:p>
      <w:pPr>
        <w:pStyle w:val="Titre4"/>
      </w:pPr>
      <w:r>
        <w:t xml:space="preserve">6.1.3.3 Comparaison de l’alimentation au déjeuner : hors vs pendant soudure</w:t>
      </w:r>
    </w:p>
    <w:p>
      <w:pPr>
        <w:pStyle w:val="FirstParagraph"/>
      </w:pPr>
      <w:r>
        <w:drawing>
          <wp:inline>
            <wp:extent cx="4620126" cy="3696101"/>
            <wp:effectExtent b="0" l="0" r="0" t="0"/>
            <wp:docPr descr="" title="" id="450" name="Picture"/>
            <a:graphic>
              <a:graphicData uri="http://schemas.openxmlformats.org/drawingml/2006/picture">
                <pic:pic>
                  <pic:nvPicPr>
                    <pic:cNvPr descr="06_securite_alimentaire_files/figure-docx/g4_comparaison_dejeuner-1.png" id="451" name="Picture"/>
                    <pic:cNvPicPr>
                      <a:picLocks noChangeArrowheads="1" noChangeAspect="1"/>
                    </pic:cNvPicPr>
                  </pic:nvPicPr>
                  <pic:blipFill>
                    <a:blip r:embed="rId449"/>
                    <a:stretch>
                      <a:fillRect/>
                    </a:stretch>
                  </pic:blipFill>
                  <pic:spPr bwMode="auto">
                    <a:xfrm>
                      <a:off x="0" y="0"/>
                      <a:ext cx="4620126" cy="3696101"/>
                    </a:xfrm>
                    <a:prstGeom prst="rect">
                      <a:avLst/>
                    </a:prstGeom>
                    <a:noFill/>
                    <a:ln w="9525">
                      <a:noFill/>
                      <a:headEnd/>
                      <a:tailEnd/>
                    </a:ln>
                  </pic:spPr>
                </pic:pic>
              </a:graphicData>
            </a:graphic>
          </wp:inline>
        </w:drawing>
      </w:r>
    </w:p>
    <w:bookmarkEnd w:id="452"/>
    <w:bookmarkStart w:id="453" w:name="Xac9b27d1fa2958ed638b7f1d3389e7618eba676"/>
    <w:p>
      <w:pPr>
        <w:pStyle w:val="Titre4"/>
      </w:pPr>
      <w:r>
        <w:t xml:space="preserve">6.1.3.4 Changement d’aliment de base au déjeuner entre hors et pendant soudure</w:t>
      </w:r>
    </w:p>
    <w:bookmarkEnd w:id="453"/>
    <w:bookmarkEnd w:id="454"/>
    <w:bookmarkEnd w:id="455"/>
    <w:bookmarkStart w:id="470" w:name="stratégies-de-sécurité-alimentaire"/>
    <w:p>
      <w:pPr>
        <w:pStyle w:val="Titre2"/>
      </w:pPr>
      <w:r>
        <w:t xml:space="preserve">6.2 Stratégies de sécurité alimentaire</w:t>
      </w:r>
    </w:p>
    <w:p>
      <w:pPr>
        <w:pStyle w:val="FirstParagraph"/>
      </w:pPr>
      <w:r>
        <w:t xml:space="preserve">Face à l’insécurité alimentaire, les ménages déploient un éventail de stratégies d’adaptation dont la sévérité varie : réduction des portions, substitution d’aliments, endettement, cueillette sauvage, voire décapitalisation. Chaque stratégie est évaluée sur une échelle de fréquence : 0 = Jamais, 1 = Rarement, 2 = Quelquefois, 3 = Souvent.</w:t>
      </w:r>
    </w:p>
    <w:bookmarkStart w:id="459" w:name="fréquence-des-stratégies-dadaptation"/>
    <w:p>
      <w:pPr>
        <w:pStyle w:val="Titre3"/>
      </w:pPr>
      <w:r>
        <w:t xml:space="preserve">6.2.1 Fréquence des stratégies d’adaptation</w:t>
      </w:r>
    </w:p>
    <w:p>
      <w:pPr>
        <w:pStyle w:val="FirstParagraph"/>
      </w:pPr>
      <w:r>
        <w:drawing>
          <wp:inline>
            <wp:extent cx="4620126" cy="3696101"/>
            <wp:effectExtent b="0" l="0" r="0" t="0"/>
            <wp:docPr descr="" title="" id="457" name="Picture"/>
            <a:graphic>
              <a:graphicData uri="http://schemas.openxmlformats.org/drawingml/2006/picture">
                <pic:pic>
                  <pic:nvPicPr>
                    <pic:cNvPr descr="06_securite_alimentaire_files/figure-docx/g5_strategies_likert-1.png" id="458" name="Picture"/>
                    <pic:cNvPicPr>
                      <a:picLocks noChangeArrowheads="1" noChangeAspect="1"/>
                    </pic:cNvPicPr>
                  </pic:nvPicPr>
                  <pic:blipFill>
                    <a:blip r:embed="rId456"/>
                    <a:stretch>
                      <a:fillRect/>
                    </a:stretch>
                  </pic:blipFill>
                  <pic:spPr bwMode="auto">
                    <a:xfrm>
                      <a:off x="0" y="0"/>
                      <a:ext cx="4620126" cy="3696101"/>
                    </a:xfrm>
                    <a:prstGeom prst="rect">
                      <a:avLst/>
                    </a:prstGeom>
                    <a:noFill/>
                    <a:ln w="9525">
                      <a:noFill/>
                      <a:headEnd/>
                      <a:tailEnd/>
                    </a:ln>
                  </pic:spPr>
                </pic:pic>
              </a:graphicData>
            </a:graphic>
          </wp:inline>
        </w:drawing>
      </w:r>
    </w:p>
    <w:bookmarkEnd w:id="459"/>
    <w:bookmarkStart w:id="469" w:name="X9cf7e1014deb83f27c62d34c9fba8f88243955e"/>
    <w:p>
      <w:pPr>
        <w:pStyle w:val="Titre3"/>
      </w:pPr>
      <w:r>
        <w:t xml:space="preserve">6.2.2 Sources d’endettement et d’emprunt alimentaire</w:t>
      </w:r>
    </w:p>
    <w:p>
      <w:pPr>
        <w:pStyle w:val="CaptionedFigure"/>
      </w:pPr>
      <w:r>
        <w:drawing>
          <wp:inline>
            <wp:extent cx="4620126" cy="3696101"/>
            <wp:effectExtent b="0" l="0" r="0" t="0"/>
            <wp:docPr descr="Sources d’endettement alimentaire" title="" id="461" name="Picture"/>
            <a:graphic>
              <a:graphicData uri="http://schemas.openxmlformats.org/drawingml/2006/picture">
                <pic:pic>
                  <pic:nvPicPr>
                    <pic:cNvPr descr="06_securite_alimentaire_files/figure-docx/fig_sources_endettement-1.png" id="462" name="Picture"/>
                    <pic:cNvPicPr>
                      <a:picLocks noChangeArrowheads="1" noChangeAspect="1"/>
                    </pic:cNvPicPr>
                  </pic:nvPicPr>
                  <pic:blipFill>
                    <a:blip r:embed="rId46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Sources d’endettement alimentaire</w:t>
      </w:r>
    </w:p>
    <w:p>
      <w:pPr>
        <w:pStyle w:val="CaptionedFigure"/>
      </w:pPr>
      <w:r>
        <w:drawing>
          <wp:inline>
            <wp:extent cx="4620126" cy="3696101"/>
            <wp:effectExtent b="0" l="0" r="0" t="0"/>
            <wp:docPr descr="Sources d’emprunt d’aliments de base" title="" id="464" name="Picture"/>
            <a:graphic>
              <a:graphicData uri="http://schemas.openxmlformats.org/drawingml/2006/picture">
                <pic:pic>
                  <pic:nvPicPr>
                    <pic:cNvPr descr="06_securite_alimentaire_files/figure-docx/fig_sources_emprunt-1.png" id="465" name="Picture"/>
                    <pic:cNvPicPr>
                      <a:picLocks noChangeArrowheads="1" noChangeAspect="1"/>
                    </pic:cNvPicPr>
                  </pic:nvPicPr>
                  <pic:blipFill>
                    <a:blip r:embed="rId463"/>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Sources d’emprunt d’aliments de base</w:t>
      </w:r>
    </w:p>
    <w:p>
      <w:pPr>
        <w:pStyle w:val="Corpsdetexte"/>
      </w:pPr>
      <w:r>
        <w:drawing>
          <wp:inline>
            <wp:extent cx="4620126" cy="3503595"/>
            <wp:effectExtent b="0" l="0" r="0" t="0"/>
            <wp:docPr descr="" title="" id="467" name="Picture"/>
            <a:graphic>
              <a:graphicData uri="http://schemas.openxmlformats.org/drawingml/2006/picture">
                <pic:pic>
                  <pic:nvPicPr>
                    <pic:cNvPr descr="06_securite_alimentaire_files/figure-docx/g6_top_strategies-1.png" id="468" name="Picture"/>
                    <pic:cNvPicPr>
                      <a:picLocks noChangeArrowheads="1" noChangeAspect="1"/>
                    </pic:cNvPicPr>
                  </pic:nvPicPr>
                  <pic:blipFill>
                    <a:blip r:embed="rId466"/>
                    <a:stretch>
                      <a:fillRect/>
                    </a:stretch>
                  </pic:blipFill>
                  <pic:spPr bwMode="auto">
                    <a:xfrm>
                      <a:off x="0" y="0"/>
                      <a:ext cx="4620126" cy="3503595"/>
                    </a:xfrm>
                    <a:prstGeom prst="rect">
                      <a:avLst/>
                    </a:prstGeom>
                    <a:noFill/>
                    <a:ln w="9525">
                      <a:noFill/>
                      <a:headEnd/>
                      <a:tailEnd/>
                    </a:ln>
                  </pic:spPr>
                </pic:pic>
              </a:graphicData>
            </a:graphic>
          </wp:inline>
        </w:drawing>
      </w:r>
    </w:p>
    <w:bookmarkEnd w:id="469"/>
    <w:bookmarkEnd w:id="470"/>
    <w:bookmarkStart w:id="474" w:name="X022980f631cd731cb72eb071d0b331cc128d08a"/>
    <w:p>
      <w:pPr>
        <w:pStyle w:val="Titre2"/>
      </w:pPr>
      <w:r>
        <w:t xml:space="preserve">6.3 Indice synthétique de stratégies d’adaptation (CSI simplifié)</w:t>
      </w:r>
    </w:p>
    <w:p>
      <w:pPr>
        <w:pStyle w:val="FirstParagraph"/>
      </w:pPr>
      <w:r>
        <w:t xml:space="preserve">Un score simplifié est calculé en sommant les fréquences de toutes les stratégies (0 à 3) pour chaque ménage. Plus le score est élevé, plus le ménage recourt intensément à des stratégies d’adaptation.</w:t>
      </w:r>
    </w:p>
    <w:p>
      <w:pPr>
        <w:pStyle w:val="Corpsdetexte"/>
      </w:pPr>
      <w:r>
        <w:drawing>
          <wp:inline>
            <wp:extent cx="4620126" cy="3696101"/>
            <wp:effectExtent b="0" l="0" r="0" t="0"/>
            <wp:docPr descr="" title="" id="472" name="Picture"/>
            <a:graphic>
              <a:graphicData uri="http://schemas.openxmlformats.org/drawingml/2006/picture">
                <pic:pic>
                  <pic:nvPicPr>
                    <pic:cNvPr descr="06_securite_alimentaire_files/figure-docx/g7_csi_boxplot-1.png" id="473" name="Picture"/>
                    <pic:cNvPicPr>
                      <a:picLocks noChangeArrowheads="1" noChangeAspect="1"/>
                    </pic:cNvPicPr>
                  </pic:nvPicPr>
                  <pic:blipFill>
                    <a:blip r:embed="rId471"/>
                    <a:stretch>
                      <a:fillRect/>
                    </a:stretch>
                  </pic:blipFill>
                  <pic:spPr bwMode="auto">
                    <a:xfrm>
                      <a:off x="0" y="0"/>
                      <a:ext cx="4620126" cy="3696101"/>
                    </a:xfrm>
                    <a:prstGeom prst="rect">
                      <a:avLst/>
                    </a:prstGeom>
                    <a:noFill/>
                    <a:ln w="9525">
                      <a:noFill/>
                      <a:headEnd/>
                      <a:tailEnd/>
                    </a:ln>
                  </pic:spPr>
                </pic:pic>
              </a:graphicData>
            </a:graphic>
          </wp:inline>
        </w:drawing>
      </w:r>
    </w:p>
    <w:bookmarkEnd w:id="474"/>
    <w:bookmarkEnd w:id="475"/>
    <w:bookmarkStart w:id="600" w:name="X855e8d906f5a6acf967b2aed36312ae7fa0ee32"/>
    <w:p>
      <w:pPr>
        <w:pStyle w:val="Titre1"/>
      </w:pPr>
      <w:r>
        <w:t xml:space="preserve">7. Rapport des ménages ruraux avec l’environnement</w:t>
      </w:r>
    </w:p>
    <w:p>
      <w:pPr>
        <w:pStyle w:val="FirstParagraph"/>
      </w:pPr>
      <w:r>
        <w:t xml:space="preserve">Les deux observatoires sont situés à proximité d’aires protégées majeures : Pour Alaotra la Nouvelle Aire Protégée du lac Alaotra et le Corridor Ankeniheny Zahamena et pour Marovoay le Parc National d’Ankarafantsika. Ce chapitre analyse les représentations, les usages, les pratiques (notamment le feu) et les opinions des ménages concernant la protection de l’environnement.</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476" name="Picture"/>
                  <a:graphic>
                    <a:graphicData uri="http://schemas.openxmlformats.org/drawingml/2006/picture">
                      <pic:pic>
                        <pic:nvPicPr>
                          <pic:cNvPr descr="C:\Users\fbede\AppData\Local\Programs\Quarto\share\formats\docx\warning.png" id="477"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503" w:name="sec-representation"/>
    <w:p>
      <w:pPr>
        <w:pStyle w:val="Titre2"/>
      </w:pPr>
      <w:r>
        <w:t xml:space="preserve">7.1 Représentation de la zone protégée par les ménages</w:t>
      </w:r>
    </w:p>
    <w:bookmarkStart w:id="482" w:name="X4665de780bd1ca3fab6f12e5bee69cd08b80e0b"/>
    <w:p>
      <w:pPr>
        <w:pStyle w:val="Titre3"/>
      </w:pPr>
      <w:r>
        <w:t xml:space="preserve">7.1.1 Caractérisation de la zone : disponibilité des ressources</w:t>
      </w:r>
    </w:p>
    <w:p>
      <w:pPr>
        <w:pStyle w:val="FirstParagraph"/>
      </w:pPr>
      <w:r>
        <w:t xml:space="preserve">Les ménages ont été interrogés sur la disponibilité de dix catégories de ressources naturelles dans la zone protégée à proximité de leur village. La</w:t>
      </w:r>
      <w:r>
        <w:t xml:space="preserve"> </w:t>
      </w:r>
      <w:hyperlink w:anchor="fig-ressources-dispo">
        <w:r>
          <w:rPr>
            <w:rStyle w:val="Lienhypertexte"/>
          </w:rPr>
          <w:t xml:space="preserve">Figure 7.1</w:t>
        </w:r>
      </w:hyperlink>
      <w:r>
        <w:t xml:space="preserve"> </w:t>
      </w:r>
      <w:r>
        <w:t xml:space="preserve">résume les réponses, distinguant les ressources jugées abondantes, en quantité normale ou rares.</w:t>
      </w:r>
    </w:p>
    <w:tbl>
      <w:tblPr>
        <w:tblStyle w:val="Table"/>
        <w:tblW w:type="pct" w:w="5000"/>
        <w:tblLayout w:type="fixed"/>
        <w:tblLook w:firstRow="0" w:lastRow="0" w:firstColumn="0" w:lastColumn="0" w:noHBand="0" w:noVBand="0" w:val="0000"/>
      </w:tblPr>
      <w:tblGrid>
        <w:gridCol w:w="7920"/>
      </w:tblGrid>
      <w:tr>
        <w:tc>
          <w:tcPr/>
          <w:bookmarkStart w:id="481" w:name="fig-ressources-dispo"/>
          <w:p>
            <w:pPr>
              <w:jc w:val="center"/>
            </w:pPr>
            <w:pPr>
              <w:jc w:val="left"/>
              <w:spacing w:before="200"/>
              <w:pStyle w:val="ImageCaption"/>
            </w:pPr>
            <w:r>
              <w:t xml:space="preserve">Figure 7.1: Disponibilité perçue des ressources naturelles dans la zone protégée, par observatoire</w:t>
            </w:r>
          </w:p>
          <w:p>
            <w:pPr>
              <w:pStyle w:val="Compact"/>
              <w:jc w:val="center"/>
            </w:pPr>
            <w:r>
              <w:drawing>
                <wp:inline>
                  <wp:extent cx="5969000" cy="3581400"/>
                  <wp:effectExtent b="0" l="0" r="0" t="0"/>
                  <wp:docPr descr="" title="" id="479" name="Picture"/>
                  <a:graphic>
                    <a:graphicData uri="http://schemas.openxmlformats.org/drawingml/2006/picture">
                      <pic:pic>
                        <pic:nvPicPr>
                          <pic:cNvPr descr="07_rapport_environnement_files/figure-docx/fig-ressources-dispo-1.png" id="480" name="Picture"/>
                          <pic:cNvPicPr>
                            <a:picLocks noChangeArrowheads="1" noChangeAspect="1"/>
                          </pic:cNvPicPr>
                        </pic:nvPicPr>
                        <pic:blipFill>
                          <a:blip r:embed="rId478"/>
                          <a:stretch>
                            <a:fillRect/>
                          </a:stretch>
                        </pic:blipFill>
                        <pic:spPr bwMode="auto">
                          <a:xfrm>
                            <a:off x="0" y="0"/>
                            <a:ext cx="5969000" cy="3581400"/>
                          </a:xfrm>
                          <a:prstGeom prst="rect">
                            <a:avLst/>
                          </a:prstGeom>
                          <a:noFill/>
                          <a:ln w="9525">
                            <a:noFill/>
                            <a:headEnd/>
                            <a:tailEnd/>
                          </a:ln>
                        </pic:spPr>
                      </pic:pic>
                    </a:graphicData>
                  </a:graphic>
                </wp:inline>
              </w:drawing>
            </w:r>
          </w:p>
          <w:bookmarkEnd w:id="481"/>
        </w:tc>
      </w:tr>
    </w:tbl>
    <w:bookmarkEnd w:id="482"/>
    <w:bookmarkStart w:id="487" w:name="évolution-perçue-des-ressources"/>
    <w:p>
      <w:pPr>
        <w:pStyle w:val="Titre3"/>
      </w:pPr>
      <w:r>
        <w:t xml:space="preserve">7.1.2 Évolution perçue des ressources</w:t>
      </w:r>
    </w:p>
    <w:p>
      <w:pPr>
        <w:pStyle w:val="FirstParagraph"/>
      </w:pPr>
      <w:r>
        <w:t xml:space="preserve">Les ménages estiment l’évolution de ces ressources sur les trois et cinq dernières années. La</w:t>
      </w:r>
      <w:r>
        <w:t xml:space="preserve"> </w:t>
      </w:r>
      <w:hyperlink w:anchor="fig-evolution-ressources">
        <w:r>
          <w:rPr>
            <w:rStyle w:val="Lienhypertexte"/>
          </w:rPr>
          <w:t xml:space="preserve">Figure 7.2</w:t>
        </w:r>
      </w:hyperlink>
      <w:r>
        <w:t xml:space="preserve"> </w:t>
      </w:r>
      <w:r>
        <w:t xml:space="preserve">présente la tendance à 3 ans.</w:t>
      </w:r>
    </w:p>
    <w:tbl>
      <w:tblPr>
        <w:tblStyle w:val="Table"/>
        <w:tblW w:type="pct" w:w="5000"/>
        <w:tblLayout w:type="fixed"/>
        <w:tblLook w:firstRow="0" w:lastRow="0" w:firstColumn="0" w:lastColumn="0" w:noHBand="0" w:noVBand="0" w:val="0000"/>
      </w:tblPr>
      <w:tblGrid>
        <w:gridCol w:w="7920"/>
      </w:tblGrid>
      <w:tr>
        <w:tc>
          <w:tcPr/>
          <w:bookmarkStart w:id="486" w:name="fig-evolution-ressources"/>
          <w:p>
            <w:pPr>
              <w:jc w:val="center"/>
            </w:pPr>
            <w:pPr>
              <w:jc w:val="left"/>
              <w:spacing w:before="200"/>
              <w:pStyle w:val="ImageCaption"/>
            </w:pPr>
            <w:r>
              <w:t xml:space="preserve">Figure 7.2: Évolution perçue des ressources naturelles au cours des 3 dernières années</w:t>
            </w:r>
          </w:p>
          <w:p>
            <w:pPr>
              <w:pStyle w:val="Compact"/>
              <w:jc w:val="center"/>
            </w:pPr>
            <w:r>
              <w:drawing>
                <wp:inline>
                  <wp:extent cx="5969000" cy="3581400"/>
                  <wp:effectExtent b="0" l="0" r="0" t="0"/>
                  <wp:docPr descr="" title="" id="484" name="Picture"/>
                  <a:graphic>
                    <a:graphicData uri="http://schemas.openxmlformats.org/drawingml/2006/picture">
                      <pic:pic>
                        <pic:nvPicPr>
                          <pic:cNvPr descr="07_rapport_environnement_files/figure-docx/fig-evolution-ressources-1.png" id="485" name="Picture"/>
                          <pic:cNvPicPr>
                            <a:picLocks noChangeArrowheads="1" noChangeAspect="1"/>
                          </pic:cNvPicPr>
                        </pic:nvPicPr>
                        <pic:blipFill>
                          <a:blip r:embed="rId483"/>
                          <a:stretch>
                            <a:fillRect/>
                          </a:stretch>
                        </pic:blipFill>
                        <pic:spPr bwMode="auto">
                          <a:xfrm>
                            <a:off x="0" y="0"/>
                            <a:ext cx="5969000" cy="3581400"/>
                          </a:xfrm>
                          <a:prstGeom prst="rect">
                            <a:avLst/>
                          </a:prstGeom>
                          <a:noFill/>
                          <a:ln w="9525">
                            <a:noFill/>
                            <a:headEnd/>
                            <a:tailEnd/>
                          </a:ln>
                        </pic:spPr>
                      </pic:pic>
                    </a:graphicData>
                  </a:graphic>
                </wp:inline>
              </w:drawing>
            </w:r>
          </w:p>
          <w:bookmarkEnd w:id="486"/>
        </w:tc>
      </w:tr>
    </w:tbl>
    <w:bookmarkEnd w:id="487"/>
    <w:bookmarkStart w:id="492" w:name="appartenance-perçue-de-la-zone"/>
    <w:p>
      <w:pPr>
        <w:pStyle w:val="Titre3"/>
      </w:pPr>
      <w:r>
        <w:t xml:space="preserve">7.1.3 Appartenance perçue de la zone</w:t>
      </w:r>
    </w:p>
    <w:p>
      <w:pPr>
        <w:pStyle w:val="FirstParagraph"/>
      </w:pPr>
      <w:r>
        <w:t xml:space="preserve">La question RM3 demande à qui appartient la zone protégée (réponses multiples). La</w:t>
      </w:r>
      <w:r>
        <w:t xml:space="preserve"> </w:t>
      </w:r>
      <w:hyperlink w:anchor="fig-appartenance">
        <w:r>
          <w:rPr>
            <w:rStyle w:val="Lienhypertexte"/>
          </w:rPr>
          <w:t xml:space="preserve">Figure 7.3</w:t>
        </w:r>
      </w:hyperlink>
      <w:r>
        <w:t xml:space="preserve"> </w:t>
      </w:r>
      <w:r>
        <w:t xml:space="preserve">montre les réponses par observatoire.</w:t>
      </w:r>
    </w:p>
    <w:tbl>
      <w:tblPr>
        <w:tblStyle w:val="Table"/>
        <w:tblW w:type="pct" w:w="5000"/>
        <w:tblLayout w:type="fixed"/>
        <w:tblLook w:firstRow="0" w:lastRow="0" w:firstColumn="0" w:lastColumn="0" w:noHBand="0" w:noVBand="0" w:val="0000"/>
      </w:tblPr>
      <w:tblGrid>
        <w:gridCol w:w="7920"/>
      </w:tblGrid>
      <w:tr>
        <w:tc>
          <w:tcPr/>
          <w:bookmarkStart w:id="491" w:name="fig-appartenance"/>
          <w:p>
            <w:pPr>
              <w:jc w:val="center"/>
            </w:pPr>
            <w:pPr>
              <w:jc w:val="left"/>
              <w:spacing w:before="200"/>
              <w:pStyle w:val="ImageCaption"/>
            </w:pPr>
            <w:r>
              <w:t xml:space="preserve">Figure 7.3: À qui appartient la zone protégée ? (% de Oui, réponses multiples)</w:t>
            </w:r>
          </w:p>
          <w:p>
            <w:pPr>
              <w:pStyle w:val="Compact"/>
              <w:jc w:val="center"/>
            </w:pPr>
            <w:r>
              <w:drawing>
                <wp:inline>
                  <wp:extent cx="5969000" cy="6632222"/>
                  <wp:effectExtent b="0" l="0" r="0" t="0"/>
                  <wp:docPr descr="" title="" id="489" name="Picture"/>
                  <a:graphic>
                    <a:graphicData uri="http://schemas.openxmlformats.org/drawingml/2006/picture">
                      <pic:pic>
                        <pic:nvPicPr>
                          <pic:cNvPr descr="07_rapport_environnement_files/figure-docx/fig-appartenance-1.png" id="490" name="Picture"/>
                          <pic:cNvPicPr>
                            <a:picLocks noChangeArrowheads="1" noChangeAspect="1"/>
                          </pic:cNvPicPr>
                        </pic:nvPicPr>
                        <pic:blipFill>
                          <a:blip r:embed="rId488"/>
                          <a:stretch>
                            <a:fillRect/>
                          </a:stretch>
                        </pic:blipFill>
                        <pic:spPr bwMode="auto">
                          <a:xfrm>
                            <a:off x="0" y="0"/>
                            <a:ext cx="5969000" cy="6632222"/>
                          </a:xfrm>
                          <a:prstGeom prst="rect">
                            <a:avLst/>
                          </a:prstGeom>
                          <a:noFill/>
                          <a:ln w="9525">
                            <a:noFill/>
                            <a:headEnd/>
                            <a:tailEnd/>
                          </a:ln>
                        </pic:spPr>
                      </pic:pic>
                    </a:graphicData>
                  </a:graphic>
                </wp:inline>
              </w:drawing>
            </w:r>
          </w:p>
          <w:bookmarkEnd w:id="491"/>
        </w:tc>
      </w:tr>
    </w:tbl>
    <w:bookmarkEnd w:id="492"/>
    <w:bookmarkStart w:id="497" w:name="menaces-perçues-et-responsables"/>
    <w:p>
      <w:pPr>
        <w:pStyle w:val="Titre3"/>
      </w:pPr>
      <w:r>
        <w:t xml:space="preserve">7.1.4 Menaces perçues et responsables</w:t>
      </w:r>
    </w:p>
    <w:p>
      <w:pPr>
        <w:pStyle w:val="FirstParagraph"/>
      </w:pPr>
      <w:r>
        <w:t xml:space="preserve">Les ménages ont été interrogés sur les menaces qu’ils perçoivent vis-à-vis de l’environnement local et sur les responsables qu’ils identifient. Ces perceptions reflètent la conscience environnementale des populations et orientent les stratégies de sensibilisation.</w:t>
      </w:r>
    </w:p>
    <w:tbl>
      <w:tblPr>
        <w:tblStyle w:val="Table"/>
        <w:tblW w:type="pct" w:w="5000"/>
        <w:tblLayout w:type="fixed"/>
        <w:tblLook w:firstRow="0" w:lastRow="0" w:firstColumn="0" w:lastColumn="0" w:noHBand="0" w:noVBand="0" w:val="0000"/>
      </w:tblPr>
      <w:tblGrid>
        <w:gridCol w:w="7920"/>
      </w:tblGrid>
      <w:tr>
        <w:tc>
          <w:tcPr/>
          <w:bookmarkStart w:id="493" w:name="tbl-menaces"/>
          <w:p>
            <w:pPr>
              <w:jc w:val="center"/>
            </w:pPr>
            <w:pPr>
              <w:jc w:val="left"/>
              <w:spacing w:before="200"/>
              <w:pStyle w:val="ImageCaption"/>
            </w:pPr>
            <w:r>
              <w:t xml:space="preserve">Table 7.1: Menaces perçues sur l’environnement et responsables identifiés (% de Oui)</w:t>
            </w:r>
          </w:p>
          <w:bookmarkEnd w:id="493"/>
        </w:tc>
      </w:tr>
    </w:tbl>
    <w:p>
      <w:pPr>
        <w:pStyle w:val="CaptionedFigure"/>
      </w:pPr>
      <w:r>
        <w:drawing>
          <wp:inline>
            <wp:extent cx="4620126" cy="7392202"/>
            <wp:effectExtent b="0" l="0" r="0" t="0"/>
            <wp:docPr descr="Menaces perçues et responsables identifiés (% de Oui)" title="" id="495" name="Picture"/>
            <a:graphic>
              <a:graphicData uri="http://schemas.openxmlformats.org/drawingml/2006/picture">
                <pic:pic>
                  <pic:nvPicPr>
                    <pic:cNvPr descr="07_rapport_environnement_files/figure-docx/fig_menaces-1.png" id="496" name="Picture"/>
                    <pic:cNvPicPr>
                      <a:picLocks noChangeArrowheads="1" noChangeAspect="1"/>
                    </pic:cNvPicPr>
                  </pic:nvPicPr>
                  <pic:blipFill>
                    <a:blip r:embed="rId494"/>
                    <a:stretch>
                      <a:fillRect/>
                    </a:stretch>
                  </pic:blipFill>
                  <pic:spPr bwMode="auto">
                    <a:xfrm>
                      <a:off x="0" y="0"/>
                      <a:ext cx="4620126" cy="7392202"/>
                    </a:xfrm>
                    <a:prstGeom prst="rect">
                      <a:avLst/>
                    </a:prstGeom>
                    <a:noFill/>
                    <a:ln w="9525">
                      <a:noFill/>
                      <a:headEnd/>
                      <a:tailEnd/>
                    </a:ln>
                  </pic:spPr>
                </pic:pic>
              </a:graphicData>
            </a:graphic>
          </wp:inline>
        </w:drawing>
      </w:r>
    </w:p>
    <w:p>
      <w:pPr>
        <w:pStyle w:val="ImageCaption"/>
      </w:pPr>
      <w:r>
        <w:t xml:space="preserve">Menaces perçues et responsables identifiés (% de Oui)</w:t>
      </w:r>
    </w:p>
    <w:bookmarkEnd w:id="497"/>
    <w:bookmarkStart w:id="502" w:name="X111e78fde4bc41d7853240be4e0062dcf4cf407"/>
    <w:p>
      <w:pPr>
        <w:pStyle w:val="Titre3"/>
      </w:pPr>
      <w:r>
        <w:t xml:space="preserve">7.1.5 Ce que représente la zone pour les ménages</w:t>
      </w:r>
    </w:p>
    <w:p>
      <w:pPr>
        <w:pStyle w:val="FirstParagraph"/>
      </w:pPr>
      <w:r>
        <w:t xml:space="preserve">La question</w:t>
      </w:r>
      <w:r>
        <w:t xml:space="preserve"> </w:t>
      </w:r>
      <w:r>
        <w:rPr>
          <w:rStyle w:val="VerbatimChar"/>
        </w:rPr>
        <w:t xml:space="preserve">RM5</w:t>
      </w:r>
      <w:r>
        <w:t xml:space="preserve"> </w:t>
      </w:r>
      <w:r>
        <w:t xml:space="preserve">interroge les ménages sur ce que la zone protégée représente pour eux (réponses multiples).</w:t>
      </w:r>
    </w:p>
    <w:tbl>
      <w:tblPr>
        <w:tblStyle w:val="Table"/>
        <w:tblW w:type="pct" w:w="5000"/>
        <w:tblLayout w:type="fixed"/>
        <w:tblLook w:firstRow="0" w:lastRow="0" w:firstColumn="0" w:lastColumn="0" w:noHBand="0" w:noVBand="0" w:val="0000"/>
      </w:tblPr>
      <w:tblGrid>
        <w:gridCol w:w="7920"/>
      </w:tblGrid>
      <w:tr>
        <w:tc>
          <w:tcPr/>
          <w:bookmarkStart w:id="501" w:name="fig-representation"/>
          <w:p>
            <w:pPr>
              <w:jc w:val="center"/>
            </w:pPr>
            <w:pPr>
              <w:jc w:val="left"/>
              <w:spacing w:before="200"/>
              <w:pStyle w:val="ImageCaption"/>
            </w:pPr>
            <w:r>
              <w:t xml:space="preserve">Figure 7.4: Que représente la zone protégée pour les ménages ? (% de Oui)</w:t>
            </w:r>
          </w:p>
          <w:p>
            <w:pPr>
              <w:pStyle w:val="Compact"/>
              <w:jc w:val="center"/>
            </w:pPr>
            <w:r>
              <w:drawing>
                <wp:inline>
                  <wp:extent cx="5969000" cy="5969000"/>
                  <wp:effectExtent b="0" l="0" r="0" t="0"/>
                  <wp:docPr descr="" title="" id="499" name="Picture"/>
                  <a:graphic>
                    <a:graphicData uri="http://schemas.openxmlformats.org/drawingml/2006/picture">
                      <pic:pic>
                        <pic:nvPicPr>
                          <pic:cNvPr descr="07_rapport_environnement_files/figure-docx/fig-representation-1.png" id="500" name="Picture"/>
                          <pic:cNvPicPr>
                            <a:picLocks noChangeArrowheads="1" noChangeAspect="1"/>
                          </pic:cNvPicPr>
                        </pic:nvPicPr>
                        <pic:blipFill>
                          <a:blip r:embed="rId498"/>
                          <a:stretch>
                            <a:fillRect/>
                          </a:stretch>
                        </pic:blipFill>
                        <pic:spPr bwMode="auto">
                          <a:xfrm>
                            <a:off x="0" y="0"/>
                            <a:ext cx="5969000" cy="5969000"/>
                          </a:xfrm>
                          <a:prstGeom prst="rect">
                            <a:avLst/>
                          </a:prstGeom>
                          <a:noFill/>
                          <a:ln w="9525">
                            <a:noFill/>
                            <a:headEnd/>
                            <a:tailEnd/>
                          </a:ln>
                        </pic:spPr>
                      </pic:pic>
                    </a:graphicData>
                  </a:graphic>
                </wp:inline>
              </w:drawing>
            </w:r>
          </w:p>
          <w:bookmarkEnd w:id="501"/>
        </w:tc>
      </w:tr>
    </w:tbl>
    <w:bookmarkEnd w:id="502"/>
    <w:bookmarkEnd w:id="503"/>
    <w:bookmarkStart w:id="539" w:name="sec-exploitation"/>
    <w:p>
      <w:pPr>
        <w:pStyle w:val="Titre2"/>
      </w:pPr>
      <w:r>
        <w:t xml:space="preserve">7.2 Exploitation forestière et usage de l’Aire protégée</w:t>
      </w:r>
    </w:p>
    <w:bookmarkStart w:id="512" w:name="collecte-de-bois-et-charbon"/>
    <w:p>
      <w:pPr>
        <w:pStyle w:val="Titre3"/>
      </w:pPr>
      <w:r>
        <w:t xml:space="preserve">7.2.1 Collecte de bois et charbon</w:t>
      </w:r>
    </w:p>
    <w:p>
      <w:pPr>
        <w:pStyle w:val="FirstParagraph"/>
      </w:pPr>
      <w:r>
        <w:t xml:space="preserve">Le fichier</w:t>
      </w:r>
      <w:r>
        <w:t xml:space="preserve"> </w:t>
      </w:r>
      <w:r>
        <w:rPr>
          <w:rStyle w:val="VerbatimChar"/>
        </w:rPr>
        <w:t xml:space="preserve">res_ef</w:t>
      </w:r>
      <w:r>
        <w:t xml:space="preserve"> </w:t>
      </w:r>
      <w:r>
        <w:t xml:space="preserve">recense les produits forestiers collectés par les ménages : charbon (</w:t>
      </w:r>
      <w:r>
        <w:rPr>
          <w:i/>
          <w:iCs/>
        </w:rPr>
        <w:t xml:space="preserve">saribao</w:t>
      </w:r>
      <w:r>
        <w:t xml:space="preserve">), bois de chauffe (</w:t>
      </w:r>
      <w:r>
        <w:rPr>
          <w:i/>
          <w:iCs/>
        </w:rPr>
        <w:t xml:space="preserve">kitay</w:t>
      </w:r>
      <w:r>
        <w:t xml:space="preserve">) et bois d’oeuvre. La</w:t>
      </w:r>
      <w:r>
        <w:t xml:space="preserve"> </w:t>
      </w:r>
      <w:hyperlink w:anchor="fig-ef-produits">
        <w:r>
          <w:rPr>
            <w:rStyle w:val="Lienhypertexte"/>
          </w:rPr>
          <w:t xml:space="preserve">Figure 7.5</w:t>
        </w:r>
      </w:hyperlink>
      <w:r>
        <w:t xml:space="preserve"> </w:t>
      </w:r>
      <w:r>
        <w:t xml:space="preserve">présente le pourcentage de ménages concernés par chaque produit et la</w:t>
      </w:r>
      <w:r>
        <w:t xml:space="preserve"> </w:t>
      </w:r>
      <w:hyperlink w:anchor="fig-ef-origine">
        <w:r>
          <w:rPr>
            <w:rStyle w:val="Lienhypertexte"/>
          </w:rPr>
          <w:t xml:space="preserve">Figure 7.6</w:t>
        </w:r>
      </w:hyperlink>
      <w:r>
        <w:t xml:space="preserve"> </w:t>
      </w:r>
      <w:r>
        <w:t xml:space="preserve">distingue l’origine (dans ou hors aire protégée).</w:t>
      </w:r>
    </w:p>
    <w:tbl>
      <w:tblPr>
        <w:tblStyle w:val="Table"/>
        <w:tblW w:type="pct" w:w="5000"/>
        <w:tblLayout w:type="fixed"/>
        <w:tblLook w:firstRow="0" w:lastRow="0" w:firstColumn="0" w:lastColumn="0" w:noHBand="0" w:noVBand="0" w:val="0000"/>
      </w:tblPr>
      <w:tblGrid>
        <w:gridCol w:w="7920"/>
      </w:tblGrid>
      <w:tr>
        <w:tc>
          <w:tcPr/>
          <w:bookmarkStart w:id="507" w:name="fig-ef-produits"/>
          <w:p>
            <w:pPr>
              <w:jc w:val="center"/>
            </w:pPr>
            <w:pPr>
              <w:jc w:val="left"/>
              <w:spacing w:before="200"/>
              <w:pStyle w:val="ImageCaption"/>
            </w:pPr>
            <w:r>
              <w:t xml:space="preserve">Figure 7.5: Pourcentage de ménages pratiquant la collecte de produits forestiers, par observatoire</w:t>
            </w:r>
          </w:p>
          <w:p>
            <w:pPr>
              <w:pStyle w:val="Compact"/>
              <w:jc w:val="center"/>
            </w:pPr>
            <w:r>
              <w:drawing>
                <wp:inline>
                  <wp:extent cx="5969000" cy="2652888"/>
                  <wp:effectExtent b="0" l="0" r="0" t="0"/>
                  <wp:docPr descr="" title="" id="505" name="Picture"/>
                  <a:graphic>
                    <a:graphicData uri="http://schemas.openxmlformats.org/drawingml/2006/picture">
                      <pic:pic>
                        <pic:nvPicPr>
                          <pic:cNvPr descr="07_rapport_environnement_files/figure-docx/fig-ef-produits-1.png" id="506" name="Picture"/>
                          <pic:cNvPicPr>
                            <a:picLocks noChangeArrowheads="1" noChangeAspect="1"/>
                          </pic:cNvPicPr>
                        </pic:nvPicPr>
                        <pic:blipFill>
                          <a:blip r:embed="rId504"/>
                          <a:stretch>
                            <a:fillRect/>
                          </a:stretch>
                        </pic:blipFill>
                        <pic:spPr bwMode="auto">
                          <a:xfrm>
                            <a:off x="0" y="0"/>
                            <a:ext cx="5969000" cy="2652888"/>
                          </a:xfrm>
                          <a:prstGeom prst="rect">
                            <a:avLst/>
                          </a:prstGeom>
                          <a:noFill/>
                          <a:ln w="9525">
                            <a:noFill/>
                            <a:headEnd/>
                            <a:tailEnd/>
                          </a:ln>
                        </pic:spPr>
                      </pic:pic>
                    </a:graphicData>
                  </a:graphic>
                </wp:inline>
              </w:drawing>
            </w:r>
          </w:p>
          <w:bookmarkEnd w:id="507"/>
        </w:tc>
      </w:tr>
    </w:tbl>
    <w:tbl>
      <w:tblPr>
        <w:tblStyle w:val="Table"/>
        <w:tblW w:type="pct" w:w="5000"/>
        <w:tblLayout w:type="fixed"/>
        <w:tblLook w:firstRow="0" w:lastRow="0" w:firstColumn="0" w:lastColumn="0" w:noHBand="0" w:noVBand="0" w:val="0000"/>
      </w:tblPr>
      <w:tblGrid>
        <w:gridCol w:w="7920"/>
      </w:tblGrid>
      <w:tr>
        <w:tc>
          <w:tcPr/>
          <w:bookmarkStart w:id="511" w:name="fig-ef-origine"/>
          <w:p>
            <w:pPr>
              <w:jc w:val="center"/>
            </w:pPr>
            <w:pPr>
              <w:jc w:val="left"/>
              <w:spacing w:before="200"/>
              <w:pStyle w:val="ImageCaption"/>
            </w:pPr>
            <w:r>
              <w:t xml:space="preserve">Figure 7.6: Origine des produits forestiers collectés (dans ou hors Aire Protégée)</w:t>
            </w:r>
          </w:p>
          <w:p>
            <w:pPr>
              <w:pStyle w:val="Compact"/>
              <w:jc w:val="center"/>
            </w:pPr>
            <w:r>
              <w:drawing>
                <wp:inline>
                  <wp:extent cx="5969000" cy="2652888"/>
                  <wp:effectExtent b="0" l="0" r="0" t="0"/>
                  <wp:docPr descr="" title="" id="509" name="Picture"/>
                  <a:graphic>
                    <a:graphicData uri="http://schemas.openxmlformats.org/drawingml/2006/picture">
                      <pic:pic>
                        <pic:nvPicPr>
                          <pic:cNvPr descr="07_rapport_environnement_files/figure-docx/fig-ef-origine-1.png" id="510" name="Picture"/>
                          <pic:cNvPicPr>
                            <a:picLocks noChangeArrowheads="1" noChangeAspect="1"/>
                          </pic:cNvPicPr>
                        </pic:nvPicPr>
                        <pic:blipFill>
                          <a:blip r:embed="rId508"/>
                          <a:stretch>
                            <a:fillRect/>
                          </a:stretch>
                        </pic:blipFill>
                        <pic:spPr bwMode="auto">
                          <a:xfrm>
                            <a:off x="0" y="0"/>
                            <a:ext cx="5969000" cy="2652888"/>
                          </a:xfrm>
                          <a:prstGeom prst="rect">
                            <a:avLst/>
                          </a:prstGeom>
                          <a:noFill/>
                          <a:ln w="9525">
                            <a:noFill/>
                            <a:headEnd/>
                            <a:tailEnd/>
                          </a:ln>
                        </pic:spPr>
                      </pic:pic>
                    </a:graphicData>
                  </a:graphic>
                </wp:inline>
              </w:drawing>
            </w:r>
          </w:p>
          <w:bookmarkEnd w:id="511"/>
        </w:tc>
      </w:tr>
    </w:tbl>
    <w:bookmarkEnd w:id="512"/>
    <w:bookmarkStart w:id="517" w:name="saisonnalité-de-la-collecte-forestière"/>
    <w:p>
      <w:pPr>
        <w:pStyle w:val="Titre3"/>
      </w:pPr>
      <w:r>
        <w:t xml:space="preserve">7.2.2 Saisonnalité de la collecte forestière</w:t>
      </w:r>
    </w:p>
    <w:p>
      <w:pPr>
        <w:pStyle w:val="FirstParagraph"/>
      </w:pPr>
      <w:r>
        <w:t xml:space="preserve">La collecte de produits forestiers suit un calendrier saisonnier lié aux besoins énergétiques des ménages et aux contraintes climatiques. La période de préparation de la campagne agricole et la saison sèche correspondent généralement aux pics d’activité.</w:t>
      </w:r>
    </w:p>
    <w:tbl>
      <w:tblPr>
        <w:tblStyle w:val="Table"/>
        <w:tblW w:type="pct" w:w="5000"/>
        <w:tblLayout w:type="fixed"/>
        <w:tblLook w:firstRow="0" w:lastRow="0" w:firstColumn="0" w:lastColumn="0" w:noHBand="0" w:noVBand="0" w:val="0000"/>
      </w:tblPr>
      <w:tblGrid>
        <w:gridCol w:w="7920"/>
      </w:tblGrid>
      <w:tr>
        <w:tc>
          <w:tcPr/>
          <w:bookmarkStart w:id="516" w:name="fig-ef-saison"/>
          <w:p>
            <w:pPr>
              <w:jc w:val="center"/>
            </w:pPr>
            <w:pPr>
              <w:jc w:val="left"/>
              <w:spacing w:before="200"/>
              <w:pStyle w:val="ImageCaption"/>
            </w:pPr>
            <w:r>
              <w:t xml:space="preserve">Figure 7.7: Saisonnalité de la collecte de produits forestiers (% de ménages actifs par mois)</w:t>
            </w:r>
          </w:p>
          <w:p>
            <w:pPr>
              <w:pStyle w:val="Compact"/>
              <w:jc w:val="center"/>
            </w:pPr>
            <w:r>
              <w:drawing>
                <wp:inline>
                  <wp:extent cx="5969000" cy="2984500"/>
                  <wp:effectExtent b="0" l="0" r="0" t="0"/>
                  <wp:docPr descr="" title="" id="514" name="Picture"/>
                  <a:graphic>
                    <a:graphicData uri="http://schemas.openxmlformats.org/drawingml/2006/picture">
                      <pic:pic>
                        <pic:nvPicPr>
                          <pic:cNvPr descr="07_rapport_environnement_files/figure-docx/fig-ef-saison-1.png" id="515" name="Picture"/>
                          <pic:cNvPicPr>
                            <a:picLocks noChangeArrowheads="1" noChangeAspect="1"/>
                          </pic:cNvPicPr>
                        </pic:nvPicPr>
                        <pic:blipFill>
                          <a:blip r:embed="rId513"/>
                          <a:stretch>
                            <a:fillRect/>
                          </a:stretch>
                        </pic:blipFill>
                        <pic:spPr bwMode="auto">
                          <a:xfrm>
                            <a:off x="0" y="0"/>
                            <a:ext cx="5969000" cy="2984500"/>
                          </a:xfrm>
                          <a:prstGeom prst="rect">
                            <a:avLst/>
                          </a:prstGeom>
                          <a:noFill/>
                          <a:ln w="9525">
                            <a:noFill/>
                            <a:headEnd/>
                            <a:tailEnd/>
                          </a:ln>
                        </pic:spPr>
                      </pic:pic>
                    </a:graphicData>
                  </a:graphic>
                </wp:inline>
              </w:drawing>
            </w:r>
          </w:p>
          <w:bookmarkEnd w:id="516"/>
        </w:tc>
      </w:tr>
    </w:tbl>
    <w:bookmarkEnd w:id="517"/>
    <w:bookmarkStart w:id="519" w:name="fréquentation-de-laire-protégée"/>
    <w:p>
      <w:pPr>
        <w:pStyle w:val="Titre3"/>
      </w:pPr>
      <w:r>
        <w:t xml:space="preserve">7.2.3 Fréquentation de l’Aire protégée</w:t>
      </w:r>
    </w:p>
    <w:p>
      <w:pPr>
        <w:pStyle w:val="FirstParagraph"/>
      </w:pPr>
      <w:r>
        <w:t xml:space="preserve">La variable</w:t>
      </w:r>
      <w:r>
        <w:t xml:space="preserve"> </w:t>
      </w:r>
      <w:r>
        <w:rPr>
          <w:rStyle w:val="VerbatimChar"/>
        </w:rPr>
        <w:t xml:space="preserve">UM1</w:t>
      </w:r>
      <w:r>
        <w:t xml:space="preserve"> </w:t>
      </w:r>
      <w:r>
        <w:t xml:space="preserve">indique si le ménage se rend dans la zone protégée. Le</w:t>
      </w:r>
      <w:r>
        <w:t xml:space="preserve"> </w:t>
      </w:r>
      <w:hyperlink w:anchor="tbl-frequentation">
        <w:r>
          <w:rPr>
            <w:rStyle w:val="Lienhypertexte"/>
          </w:rPr>
          <w:t xml:space="preserve">Table 7.2</w:t>
        </w:r>
      </w:hyperlink>
      <w:r>
        <w:t xml:space="preserve"> </w:t>
      </w:r>
      <w:r>
        <w:t xml:space="preserve">résume la fréquentation et ses caractéristiques.</w:t>
      </w:r>
    </w:p>
    <w:tbl>
      <w:tblPr>
        <w:tblStyle w:val="Table"/>
        <w:tblW w:type="pct" w:w="5000"/>
        <w:tblLayout w:type="fixed"/>
        <w:tblLook w:firstRow="0" w:lastRow="0" w:firstColumn="0" w:lastColumn="0" w:noHBand="0" w:noVBand="0" w:val="0000"/>
      </w:tblPr>
      <w:tblGrid>
        <w:gridCol w:w="7920"/>
      </w:tblGrid>
      <w:tr>
        <w:tc>
          <w:tcPr/>
          <w:bookmarkStart w:id="518" w:name="tbl-frequentation"/>
          <w:p>
            <w:pPr>
              <w:jc w:val="center"/>
            </w:pPr>
            <w:pPr>
              <w:jc w:val="left"/>
              <w:spacing w:before="200"/>
              <w:pStyle w:val="ImageCaption"/>
            </w:pPr>
            <w:r>
              <w:t xml:space="preserve">Table 7.2: Fréquentation et connaissance de l’Aire protégée</w:t>
            </w:r>
          </w:p>
          <w:bookmarkEnd w:id="518"/>
        </w:tc>
      </w:tr>
    </w:tbl>
    <w:bookmarkEnd w:id="519"/>
    <w:bookmarkStart w:id="524" w:name="raisons-de-non-fréquentation"/>
    <w:p>
      <w:pPr>
        <w:pStyle w:val="Titre3"/>
      </w:pPr>
      <w:r>
        <w:t xml:space="preserve">7.2.4 Raisons de non-fréquentation</w:t>
      </w:r>
    </w:p>
    <w:p>
      <w:pPr>
        <w:pStyle w:val="FirstParagraph"/>
      </w:pPr>
      <w:r>
        <w:t xml:space="preserve">Pour les ménages qui ne se rendent pas dans l’AP, les raisons invoquées sont les suivantes.</w:t>
      </w:r>
    </w:p>
    <w:tbl>
      <w:tblPr>
        <w:tblStyle w:val="Table"/>
        <w:tblW w:type="pct" w:w="5000"/>
        <w:tblLayout w:type="fixed"/>
        <w:tblLook w:firstRow="0" w:lastRow="0" w:firstColumn="0" w:lastColumn="0" w:noHBand="0" w:noVBand="0" w:val="0000"/>
      </w:tblPr>
      <w:tblGrid>
        <w:gridCol w:w="7920"/>
      </w:tblGrid>
      <w:tr>
        <w:tc>
          <w:tcPr/>
          <w:bookmarkStart w:id="523" w:name="fig-non-freq"/>
          <w:p>
            <w:pPr>
              <w:jc w:val="center"/>
            </w:pPr>
            <w:pPr>
              <w:jc w:val="left"/>
              <w:spacing w:before="200"/>
              <w:pStyle w:val="ImageCaption"/>
            </w:pPr>
            <w:r>
              <w:t xml:space="preserve">Figure 7.8: Raisons de ne pas se rendre dans l’Aire protégée (% de Oui parmi ceux qui n’y vont pas)</w:t>
            </w:r>
          </w:p>
          <w:p>
            <w:pPr>
              <w:pStyle w:val="Compact"/>
              <w:jc w:val="center"/>
            </w:pPr>
            <w:r>
              <w:drawing>
                <wp:inline>
                  <wp:extent cx="5969000" cy="6100262"/>
                  <wp:effectExtent b="0" l="0" r="0" t="0"/>
                  <wp:docPr descr="" title="" id="521" name="Picture"/>
                  <a:graphic>
                    <a:graphicData uri="http://schemas.openxmlformats.org/drawingml/2006/picture">
                      <pic:pic>
                        <pic:nvPicPr>
                          <pic:cNvPr descr="07_rapport_environnement_files/figure-docx/fig-non-freq-1.png" id="522" name="Picture"/>
                          <pic:cNvPicPr>
                            <a:picLocks noChangeArrowheads="1" noChangeAspect="1"/>
                          </pic:cNvPicPr>
                        </pic:nvPicPr>
                        <pic:blipFill>
                          <a:blip r:embed="rId520"/>
                          <a:stretch>
                            <a:fillRect/>
                          </a:stretch>
                        </pic:blipFill>
                        <pic:spPr bwMode="auto">
                          <a:xfrm>
                            <a:off x="0" y="0"/>
                            <a:ext cx="5969000" cy="6100262"/>
                          </a:xfrm>
                          <a:prstGeom prst="rect">
                            <a:avLst/>
                          </a:prstGeom>
                          <a:noFill/>
                          <a:ln w="9525">
                            <a:noFill/>
                            <a:headEnd/>
                            <a:tailEnd/>
                          </a:ln>
                        </pic:spPr>
                      </pic:pic>
                    </a:graphicData>
                  </a:graphic>
                </wp:inline>
              </w:drawing>
            </w:r>
          </w:p>
          <w:bookmarkEnd w:id="523"/>
        </w:tc>
      </w:tr>
    </w:tbl>
    <w:bookmarkEnd w:id="524"/>
    <w:bookmarkStart w:id="533" w:name="usages-de-laire-protégée"/>
    <w:p>
      <w:pPr>
        <w:pStyle w:val="Titre3"/>
      </w:pPr>
      <w:r>
        <w:t xml:space="preserve">7.2.5 Usages de l’Aire protégée</w:t>
      </w:r>
    </w:p>
    <w:p>
      <w:pPr>
        <w:pStyle w:val="FirstParagraph"/>
      </w:pPr>
      <w:r>
        <w:t xml:space="preserve">Parmi les ménages qui se rendent dans l’AP, la</w:t>
      </w:r>
      <w:r>
        <w:t xml:space="preserve"> </w:t>
      </w:r>
      <w:hyperlink w:anchor="fig-usages-ap">
        <w:r>
          <w:rPr>
            <w:rStyle w:val="Lienhypertexte"/>
          </w:rPr>
          <w:t xml:space="preserve">Figure 7.9</w:t>
        </w:r>
      </w:hyperlink>
      <w:r>
        <w:t xml:space="preserve"> </w:t>
      </w:r>
      <w:r>
        <w:t xml:space="preserve">détaille les raisons et la</w:t>
      </w:r>
      <w:r>
        <w:t xml:space="preserve"> </w:t>
      </w:r>
      <w:hyperlink w:anchor="fig-freq-usages">
        <w:r>
          <w:rPr>
            <w:rStyle w:val="Lienhypertexte"/>
          </w:rPr>
          <w:t xml:space="preserve">Figure 7.10</w:t>
        </w:r>
      </w:hyperlink>
      <w:r>
        <w:t xml:space="preserve"> </w:t>
      </w:r>
      <w:r>
        <w:t xml:space="preserve">la fréquence des déplacements.</w:t>
      </w:r>
    </w:p>
    <w:tbl>
      <w:tblPr>
        <w:tblStyle w:val="Table"/>
        <w:tblW w:type="pct" w:w="5000"/>
        <w:tblLayout w:type="fixed"/>
        <w:tblLook w:firstRow="0" w:lastRow="0" w:firstColumn="0" w:lastColumn="0" w:noHBand="0" w:noVBand="0" w:val="0000"/>
      </w:tblPr>
      <w:tblGrid>
        <w:gridCol w:w="7920"/>
      </w:tblGrid>
      <w:tr>
        <w:tc>
          <w:tcPr/>
          <w:bookmarkStart w:id="528" w:name="fig-usages-ap"/>
          <w:p>
            <w:pPr>
              <w:jc w:val="center"/>
            </w:pPr>
            <w:pPr>
              <w:jc w:val="left"/>
              <w:spacing w:before="200"/>
              <w:pStyle w:val="ImageCaption"/>
            </w:pPr>
            <w:r>
              <w:t xml:space="preserve">Figure 7.9: Raisons de se rendre dans l’Aire protégée (% de Oui parmi les usagers)</w:t>
            </w:r>
          </w:p>
          <w:p>
            <w:pPr>
              <w:pStyle w:val="Compact"/>
              <w:jc w:val="center"/>
            </w:pPr>
            <w:r>
              <w:drawing>
                <wp:inline>
                  <wp:extent cx="5969000" cy="5969000"/>
                  <wp:effectExtent b="0" l="0" r="0" t="0"/>
                  <wp:docPr descr="" title="" id="526" name="Picture"/>
                  <a:graphic>
                    <a:graphicData uri="http://schemas.openxmlformats.org/drawingml/2006/picture">
                      <pic:pic>
                        <pic:nvPicPr>
                          <pic:cNvPr descr="07_rapport_environnement_files/figure-docx/fig-usages-ap-1.png" id="527" name="Picture"/>
                          <pic:cNvPicPr>
                            <a:picLocks noChangeArrowheads="1" noChangeAspect="1"/>
                          </pic:cNvPicPr>
                        </pic:nvPicPr>
                        <pic:blipFill>
                          <a:blip r:embed="rId525"/>
                          <a:stretch>
                            <a:fillRect/>
                          </a:stretch>
                        </pic:blipFill>
                        <pic:spPr bwMode="auto">
                          <a:xfrm>
                            <a:off x="0" y="0"/>
                            <a:ext cx="5969000" cy="5969000"/>
                          </a:xfrm>
                          <a:prstGeom prst="rect">
                            <a:avLst/>
                          </a:prstGeom>
                          <a:noFill/>
                          <a:ln w="9525">
                            <a:noFill/>
                            <a:headEnd/>
                            <a:tailEnd/>
                          </a:ln>
                        </pic:spPr>
                      </pic:pic>
                    </a:graphicData>
                  </a:graphic>
                </wp:inline>
              </w:drawing>
            </w:r>
          </w:p>
          <w:bookmarkEnd w:id="528"/>
        </w:tc>
      </w:tr>
    </w:tbl>
    <w:tbl>
      <w:tblPr>
        <w:tblStyle w:val="Table"/>
        <w:tblW w:type="pct" w:w="5000"/>
        <w:tblLayout w:type="fixed"/>
        <w:tblLook w:firstRow="0" w:lastRow="0" w:firstColumn="0" w:lastColumn="0" w:noHBand="0" w:noVBand="0" w:val="0000"/>
      </w:tblPr>
      <w:tblGrid>
        <w:gridCol w:w="7920"/>
      </w:tblGrid>
      <w:tr>
        <w:tc>
          <w:tcPr/>
          <w:bookmarkStart w:id="532" w:name="fig-freq-usages"/>
          <w:p>
            <w:pPr>
              <w:jc w:val="center"/>
            </w:pPr>
            <w:pPr>
              <w:jc w:val="left"/>
              <w:spacing w:before="200"/>
              <w:pStyle w:val="ImageCaption"/>
            </w:pPr>
            <w:r>
              <w:t xml:space="preserve">Figure 7.10: Fréquence des déplacements dans l’AP selon l’usage, par observatoire</w:t>
            </w:r>
          </w:p>
          <w:p>
            <w:pPr>
              <w:pStyle w:val="Compact"/>
              <w:jc w:val="center"/>
            </w:pPr>
            <w:r>
              <w:drawing>
                <wp:inline>
                  <wp:extent cx="5969000" cy="3581400"/>
                  <wp:effectExtent b="0" l="0" r="0" t="0"/>
                  <wp:docPr descr="" title="" id="530" name="Picture"/>
                  <a:graphic>
                    <a:graphicData uri="http://schemas.openxmlformats.org/drawingml/2006/picture">
                      <pic:pic>
                        <pic:nvPicPr>
                          <pic:cNvPr descr="07_rapport_environnement_files/figure-docx/fig-freq-usages-1.png" id="531" name="Picture"/>
                          <pic:cNvPicPr>
                            <a:picLocks noChangeArrowheads="1" noChangeAspect="1"/>
                          </pic:cNvPicPr>
                        </pic:nvPicPr>
                        <pic:blipFill>
                          <a:blip r:embed="rId529"/>
                          <a:stretch>
                            <a:fillRect/>
                          </a:stretch>
                        </pic:blipFill>
                        <pic:spPr bwMode="auto">
                          <a:xfrm>
                            <a:off x="0" y="0"/>
                            <a:ext cx="5969000" cy="3581400"/>
                          </a:xfrm>
                          <a:prstGeom prst="rect">
                            <a:avLst/>
                          </a:prstGeom>
                          <a:noFill/>
                          <a:ln w="9525">
                            <a:noFill/>
                            <a:headEnd/>
                            <a:tailEnd/>
                          </a:ln>
                        </pic:spPr>
                      </pic:pic>
                    </a:graphicData>
                  </a:graphic>
                </wp:inline>
              </w:drawing>
            </w:r>
          </w:p>
          <w:bookmarkEnd w:id="532"/>
        </w:tc>
      </w:tr>
    </w:tbl>
    <w:bookmarkEnd w:id="533"/>
    <w:bookmarkStart w:id="538" w:name="saisonnalité-de-la-fréquentation-de-lap"/>
    <w:p>
      <w:pPr>
        <w:pStyle w:val="Titre3"/>
      </w:pPr>
      <w:r>
        <w:t xml:space="preserve">7.2.6 Saisonnalité de la fréquentation de l’AP</w:t>
      </w:r>
    </w:p>
    <w:p>
      <w:pPr>
        <w:pStyle w:val="FirstParagraph"/>
      </w:pPr>
      <w:r>
        <w:t xml:space="preserve">La fréquentation de l’Aire protégée n’est pas uniforme au cours de l’année. Les variations saisonnières reflètent les besoins en ressources naturelles, le calendrier agricole et l’accessibilité physique de la zone.</w:t>
      </w:r>
    </w:p>
    <w:tbl>
      <w:tblPr>
        <w:tblStyle w:val="Table"/>
        <w:tblW w:type="pct" w:w="5000"/>
        <w:tblLayout w:type="fixed"/>
        <w:tblLook w:firstRow="0" w:lastRow="0" w:firstColumn="0" w:lastColumn="0" w:noHBand="0" w:noVBand="0" w:val="0000"/>
      </w:tblPr>
      <w:tblGrid>
        <w:gridCol w:w="7920"/>
      </w:tblGrid>
      <w:tr>
        <w:tc>
          <w:tcPr/>
          <w:bookmarkStart w:id="537" w:name="fig-saison-ap"/>
          <w:p>
            <w:pPr>
              <w:jc w:val="center"/>
            </w:pPr>
            <w:pPr>
              <w:jc w:val="left"/>
              <w:spacing w:before="200"/>
              <w:pStyle w:val="ImageCaption"/>
            </w:pPr>
            <w:r>
              <w:t xml:space="preserve">Figure 7.11: Saisonnalité des usages de l’AP (% d’usagers actifs par mois, principales raisons), par observatoire</w:t>
            </w:r>
          </w:p>
          <w:p>
            <w:pPr>
              <w:pStyle w:val="Compact"/>
              <w:jc w:val="center"/>
            </w:pPr>
            <w:r>
              <w:drawing>
                <wp:inline>
                  <wp:extent cx="5969000" cy="2984500"/>
                  <wp:effectExtent b="0" l="0" r="0" t="0"/>
                  <wp:docPr descr="" title="" id="535" name="Picture"/>
                  <a:graphic>
                    <a:graphicData uri="http://schemas.openxmlformats.org/drawingml/2006/picture">
                      <pic:pic>
                        <pic:nvPicPr>
                          <pic:cNvPr descr="07_rapport_environnement_files/figure-docx/fig-saison-ap-1.png" id="536" name="Picture"/>
                          <pic:cNvPicPr>
                            <a:picLocks noChangeArrowheads="1" noChangeAspect="1"/>
                          </pic:cNvPicPr>
                        </pic:nvPicPr>
                        <pic:blipFill>
                          <a:blip r:embed="rId534"/>
                          <a:stretch>
                            <a:fillRect/>
                          </a:stretch>
                        </pic:blipFill>
                        <pic:spPr bwMode="auto">
                          <a:xfrm>
                            <a:off x="0" y="0"/>
                            <a:ext cx="5969000" cy="2984500"/>
                          </a:xfrm>
                          <a:prstGeom prst="rect">
                            <a:avLst/>
                          </a:prstGeom>
                          <a:noFill/>
                          <a:ln w="9525">
                            <a:noFill/>
                            <a:headEnd/>
                            <a:tailEnd/>
                          </a:ln>
                        </pic:spPr>
                      </pic:pic>
                    </a:graphicData>
                  </a:graphic>
                </wp:inline>
              </w:drawing>
            </w:r>
          </w:p>
          <w:bookmarkEnd w:id="537"/>
        </w:tc>
      </w:tr>
    </w:tbl>
    <w:bookmarkEnd w:id="538"/>
    <w:bookmarkEnd w:id="539"/>
    <w:bookmarkStart w:id="568" w:name="sec-feu"/>
    <w:p>
      <w:pPr>
        <w:pStyle w:val="Titre2"/>
      </w:pPr>
      <w:r>
        <w:t xml:space="preserve">7.3 Feux de brousse</w:t>
      </w:r>
    </w:p>
    <w:bookmarkStart w:id="544" w:name="opinions-sur-les-raisons-des-feux"/>
    <w:p>
      <w:pPr>
        <w:pStyle w:val="Titre3"/>
      </w:pPr>
      <w:r>
        <w:t xml:space="preserve">7.3.1 Opinions sur les raisons des feux</w:t>
      </w:r>
    </w:p>
    <w:p>
      <w:pPr>
        <w:pStyle w:val="FirstParagraph"/>
      </w:pPr>
      <w:r>
        <w:t xml:space="preserve">Les ménages ont été interrogés sur les raisons pour lesquelles les gens font des feux dans la région (question</w:t>
      </w:r>
      <w:r>
        <w:t xml:space="preserve"> </w:t>
      </w:r>
      <w:r>
        <w:rPr>
          <w:rStyle w:val="VerbatimChar"/>
        </w:rPr>
        <w:t xml:space="preserve">S16</w:t>
      </w:r>
      <w:r>
        <w:t xml:space="preserve">, réponses multiples).</w:t>
      </w:r>
    </w:p>
    <w:tbl>
      <w:tblPr>
        <w:tblStyle w:val="Table"/>
        <w:tblW w:type="pct" w:w="5000"/>
        <w:tblLayout w:type="fixed"/>
        <w:tblLook w:firstRow="0" w:lastRow="0" w:firstColumn="0" w:lastColumn="0" w:noHBand="0" w:noVBand="0" w:val="0000"/>
      </w:tblPr>
      <w:tblGrid>
        <w:gridCol w:w="7920"/>
      </w:tblGrid>
      <w:tr>
        <w:tc>
          <w:tcPr/>
          <w:bookmarkStart w:id="543" w:name="fig-raisons-feux"/>
          <w:p>
            <w:pPr>
              <w:jc w:val="center"/>
            </w:pPr>
            <w:pPr>
              <w:jc w:val="left"/>
              <w:spacing w:before="200"/>
              <w:pStyle w:val="ImageCaption"/>
            </w:pPr>
            <w:r>
              <w:t xml:space="preserve">Figure 7.12: Raisons perçues de faire des feux (% de Oui)</w:t>
            </w:r>
          </w:p>
          <w:p>
            <w:pPr>
              <w:pStyle w:val="Compact"/>
              <w:jc w:val="center"/>
            </w:pPr>
            <w:r>
              <w:drawing>
                <wp:inline>
                  <wp:extent cx="5969000" cy="5969000"/>
                  <wp:effectExtent b="0" l="0" r="0" t="0"/>
                  <wp:docPr descr="" title="" id="541" name="Picture"/>
                  <a:graphic>
                    <a:graphicData uri="http://schemas.openxmlformats.org/drawingml/2006/picture">
                      <pic:pic>
                        <pic:nvPicPr>
                          <pic:cNvPr descr="07_rapport_environnement_files/figure-docx/fig-raisons-feux-1.png" id="542" name="Picture"/>
                          <pic:cNvPicPr>
                            <a:picLocks noChangeArrowheads="1" noChangeAspect="1"/>
                          </pic:cNvPicPr>
                        </pic:nvPicPr>
                        <pic:blipFill>
                          <a:blip r:embed="rId540"/>
                          <a:stretch>
                            <a:fillRect/>
                          </a:stretch>
                        </pic:blipFill>
                        <pic:spPr bwMode="auto">
                          <a:xfrm>
                            <a:off x="0" y="0"/>
                            <a:ext cx="5969000" cy="5969000"/>
                          </a:xfrm>
                          <a:prstGeom prst="rect">
                            <a:avLst/>
                          </a:prstGeom>
                          <a:noFill/>
                          <a:ln w="9525">
                            <a:noFill/>
                            <a:headEnd/>
                            <a:tailEnd/>
                          </a:ln>
                        </pic:spPr>
                      </pic:pic>
                    </a:graphicData>
                  </a:graphic>
                </wp:inline>
              </w:drawing>
            </w:r>
          </w:p>
          <w:bookmarkEnd w:id="543"/>
        </w:tc>
      </w:tr>
    </w:tbl>
    <w:bookmarkEnd w:id="544"/>
    <w:bookmarkStart w:id="549" w:name="pratique-du-feu"/>
    <w:p>
      <w:pPr>
        <w:pStyle w:val="Titre3"/>
      </w:pPr>
      <w:r>
        <w:t xml:space="preserve">7.3.2 Pratique du feu</w:t>
      </w:r>
    </w:p>
    <w:p>
      <w:pPr>
        <w:pStyle w:val="FirstParagraph"/>
      </w:pPr>
      <w:r>
        <w:t xml:space="preserve">Au-delà des opinions, une partie des ménages déclarent avoir eux-mêmes pratiqué le brûlis. Le taux de pratique et les motivations avancées permettent de mesurer l’écart entre les discours et les comportements effectifs.</w:t>
      </w:r>
    </w:p>
    <w:tbl>
      <w:tblPr>
        <w:tblStyle w:val="Table"/>
        <w:tblW w:type="pct" w:w="5000"/>
        <w:tblLayout w:type="fixed"/>
        <w:tblLook w:firstRow="0" w:lastRow="0" w:firstColumn="0" w:lastColumn="0" w:noHBand="0" w:noVBand="0" w:val="0000"/>
      </w:tblPr>
      <w:tblGrid>
        <w:gridCol w:w="7920"/>
      </w:tblGrid>
      <w:tr>
        <w:tc>
          <w:tcPr/>
          <w:bookmarkStart w:id="545" w:name="tbl-feux"/>
          <w:p>
            <w:pPr>
              <w:jc w:val="center"/>
            </w:pPr>
            <w:pPr>
              <w:jc w:val="left"/>
              <w:spacing w:before="200"/>
              <w:pStyle w:val="ImageCaption"/>
            </w:pPr>
            <w:r>
              <w:t xml:space="preserve">Table 7.3: Pratique et perception des feux par observatoire</w:t>
            </w:r>
          </w:p>
          <w:bookmarkEnd w:id="545"/>
        </w:tc>
      </w:tr>
    </w:tbl>
    <w:p>
      <w:pPr>
        <w:pStyle w:val="CaptionedFigure"/>
      </w:pPr>
      <w:r>
        <w:drawing>
          <wp:inline>
            <wp:extent cx="4620126" cy="3696101"/>
            <wp:effectExtent b="0" l="0" r="0" t="0"/>
            <wp:docPr descr="Pratique et perception des feux (% de Oui)" title="" id="547" name="Picture"/>
            <a:graphic>
              <a:graphicData uri="http://schemas.openxmlformats.org/drawingml/2006/picture">
                <pic:pic>
                  <pic:nvPicPr>
                    <pic:cNvPr descr="07_rapport_environnement_files/figure-docx/fig_feux-1.png" id="548" name="Picture"/>
                    <pic:cNvPicPr>
                      <a:picLocks noChangeArrowheads="1" noChangeAspect="1"/>
                    </pic:cNvPicPr>
                  </pic:nvPicPr>
                  <pic:blipFill>
                    <a:blip r:embed="rId54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Pratique et perception des feux (% de Oui)</w:t>
      </w:r>
    </w:p>
    <w:bookmarkEnd w:id="549"/>
    <w:bookmarkStart w:id="554" w:name="saisonnalité-des-feux"/>
    <w:p>
      <w:pPr>
        <w:pStyle w:val="Titre3"/>
      </w:pPr>
      <w:r>
        <w:t xml:space="preserve">7.3.3 Saisonnalité des feux</w:t>
      </w:r>
    </w:p>
    <w:p>
      <w:pPr>
        <w:pStyle w:val="FirstParagraph"/>
      </w:pPr>
      <w:r>
        <w:t xml:space="preserve">Les feux de brousse suivent un calendrier saisonnier bien défini, lié à la préparation des terres de culture et aux conditions de sécheresse favorisant la propagation.</w:t>
      </w:r>
    </w:p>
    <w:tbl>
      <w:tblPr>
        <w:tblStyle w:val="Table"/>
        <w:tblW w:type="pct" w:w="5000"/>
        <w:tblLayout w:type="fixed"/>
        <w:tblLook w:firstRow="0" w:lastRow="0" w:firstColumn="0" w:lastColumn="0" w:noHBand="0" w:noVBand="0" w:val="0000"/>
      </w:tblPr>
      <w:tblGrid>
        <w:gridCol w:w="7920"/>
      </w:tblGrid>
      <w:tr>
        <w:tc>
          <w:tcPr/>
          <w:bookmarkStart w:id="553" w:name="fig-saison-feux"/>
          <w:p>
            <w:pPr>
              <w:jc w:val="center"/>
            </w:pPr>
            <w:pPr>
              <w:jc w:val="left"/>
              <w:spacing w:before="200"/>
              <w:pStyle w:val="ImageCaption"/>
            </w:pPr>
            <w:r>
              <w:t xml:space="preserve">Figure 7.13: Saisonnalité des feux de brousse pratiqués (% de ménages actifs par mois, parmi ceux qui ont fait du feu)</w:t>
            </w:r>
          </w:p>
          <w:p>
            <w:pPr>
              <w:pStyle w:val="Compact"/>
              <w:jc w:val="center"/>
            </w:pPr>
            <w:r>
              <w:drawing>
                <wp:inline>
                  <wp:extent cx="5969000" cy="2387600"/>
                  <wp:effectExtent b="0" l="0" r="0" t="0"/>
                  <wp:docPr descr="" title="" id="551" name="Picture"/>
                  <a:graphic>
                    <a:graphicData uri="http://schemas.openxmlformats.org/drawingml/2006/picture">
                      <pic:pic>
                        <pic:nvPicPr>
                          <pic:cNvPr descr="07_rapport_environnement_files/figure-docx/fig-saison-feux-1.png" id="552" name="Picture"/>
                          <pic:cNvPicPr>
                            <a:picLocks noChangeArrowheads="1" noChangeAspect="1"/>
                          </pic:cNvPicPr>
                        </pic:nvPicPr>
                        <pic:blipFill>
                          <a:blip r:embed="rId550"/>
                          <a:stretch>
                            <a:fillRect/>
                          </a:stretch>
                        </pic:blipFill>
                        <pic:spPr bwMode="auto">
                          <a:xfrm>
                            <a:off x="0" y="0"/>
                            <a:ext cx="5969000" cy="2387600"/>
                          </a:xfrm>
                          <a:prstGeom prst="rect">
                            <a:avLst/>
                          </a:prstGeom>
                          <a:noFill/>
                          <a:ln w="9525">
                            <a:noFill/>
                            <a:headEnd/>
                            <a:tailEnd/>
                          </a:ln>
                        </pic:spPr>
                      </pic:pic>
                    </a:graphicData>
                  </a:graphic>
                </wp:inline>
              </w:drawing>
            </w:r>
          </w:p>
          <w:bookmarkEnd w:id="553"/>
        </w:tc>
      </w:tr>
    </w:tbl>
    <w:bookmarkEnd w:id="554"/>
    <w:bookmarkStart w:id="567" w:name="avis-sur-les-feux"/>
    <w:p>
      <w:pPr>
        <w:pStyle w:val="Titre3"/>
      </w:pPr>
      <w:r>
        <w:t xml:space="preserve">7.3.4 Avis sur les feux</w:t>
      </w:r>
    </w:p>
    <w:p>
      <w:pPr>
        <w:pStyle w:val="FirstParagraph"/>
      </w:pPr>
      <w:r>
        <w:t xml:space="preserve">Les ménages expriment une perception contrastée de l’évolution des feux de brousse au cours des trois dernières années. Leur avis sur le caractère problématique des feux et sur la nécessité d’une réglementation complète le tableau de la gouvernance locale du feu.</w:t>
      </w:r>
    </w:p>
    <w:tbl>
      <w:tblPr>
        <w:tblStyle w:val="Table"/>
        <w:tblW w:type="pct" w:w="5000"/>
        <w:tblLayout w:type="fixed"/>
        <w:tblLook w:firstRow="0" w:lastRow="0" w:firstColumn="0" w:lastColumn="0" w:noHBand="0" w:noVBand="0" w:val="0000"/>
      </w:tblPr>
      <w:tblGrid>
        <w:gridCol w:w="7920"/>
      </w:tblGrid>
      <w:tr>
        <w:tc>
          <w:tcPr/>
          <w:bookmarkStart w:id="558" w:name="fig-evol-feux"/>
          <w:p>
            <w:pPr>
              <w:jc w:val="center"/>
            </w:pPr>
            <w:pPr>
              <w:jc w:val="left"/>
              <w:spacing w:before="200"/>
              <w:pStyle w:val="ImageCaption"/>
            </w:pPr>
            <w:r>
              <w:t xml:space="preserve">Figure 7.14: Évolution perçue des feux depuis 3 ans, par observatoire</w:t>
            </w:r>
          </w:p>
          <w:p>
            <w:pPr>
              <w:pStyle w:val="Compact"/>
              <w:jc w:val="center"/>
            </w:pPr>
            <w:r>
              <w:drawing>
                <wp:inline>
                  <wp:extent cx="5969000" cy="2652888"/>
                  <wp:effectExtent b="0" l="0" r="0" t="0"/>
                  <wp:docPr descr="" title="" id="556" name="Picture"/>
                  <a:graphic>
                    <a:graphicData uri="http://schemas.openxmlformats.org/drawingml/2006/picture">
                      <pic:pic>
                        <pic:nvPicPr>
                          <pic:cNvPr descr="07_rapport_environnement_files/figure-docx/fig-evol-feux-1.png" id="557" name="Picture"/>
                          <pic:cNvPicPr>
                            <a:picLocks noChangeArrowheads="1" noChangeAspect="1"/>
                          </pic:cNvPicPr>
                        </pic:nvPicPr>
                        <pic:blipFill>
                          <a:blip r:embed="rId555"/>
                          <a:stretch>
                            <a:fillRect/>
                          </a:stretch>
                        </pic:blipFill>
                        <pic:spPr bwMode="auto">
                          <a:xfrm>
                            <a:off x="0" y="0"/>
                            <a:ext cx="5969000" cy="2652888"/>
                          </a:xfrm>
                          <a:prstGeom prst="rect">
                            <a:avLst/>
                          </a:prstGeom>
                          <a:noFill/>
                          <a:ln w="9525">
                            <a:noFill/>
                            <a:headEnd/>
                            <a:tailEnd/>
                          </a:ln>
                        </pic:spPr>
                      </pic:pic>
                    </a:graphicData>
                  </a:graphic>
                </wp:inline>
              </w:drawing>
            </w:r>
          </w:p>
          <w:bookmarkEnd w:id="558"/>
        </w:tc>
      </w:tr>
    </w:tbl>
    <w:tbl>
      <w:tblPr>
        <w:tblStyle w:val="Table"/>
        <w:tblW w:type="pct" w:w="5000"/>
        <w:tblLayout w:type="fixed"/>
        <w:tblLook w:firstRow="0" w:lastRow="0" w:firstColumn="0" w:lastColumn="0" w:noHBand="0" w:noVBand="0" w:val="0000"/>
      </w:tblPr>
      <w:tblGrid>
        <w:gridCol w:w="7920"/>
      </w:tblGrid>
      <w:tr>
        <w:tc>
          <w:tcPr/>
          <w:bookmarkStart w:id="562" w:name="fig-probleme-feux"/>
          <w:p>
            <w:pPr>
              <w:jc w:val="center"/>
            </w:pPr>
            <w:pPr>
              <w:jc w:val="left"/>
              <w:spacing w:before="200"/>
              <w:pStyle w:val="ImageCaption"/>
            </w:pPr>
            <w:r>
              <w:t xml:space="preserve">Figure 7.15: Les feux sont-ils un problème dans la région ? (par observatoire)</w:t>
            </w:r>
          </w:p>
          <w:p>
            <w:pPr>
              <w:pStyle w:val="Compact"/>
              <w:jc w:val="center"/>
            </w:pPr>
            <w:r>
              <w:drawing>
                <wp:inline>
                  <wp:extent cx="5969000" cy="2652888"/>
                  <wp:effectExtent b="0" l="0" r="0" t="0"/>
                  <wp:docPr descr="" title="" id="560" name="Picture"/>
                  <a:graphic>
                    <a:graphicData uri="http://schemas.openxmlformats.org/drawingml/2006/picture">
                      <pic:pic>
                        <pic:nvPicPr>
                          <pic:cNvPr descr="07_rapport_environnement_files/figure-docx/fig-probleme-feux-1.png" id="561" name="Picture"/>
                          <pic:cNvPicPr>
                            <a:picLocks noChangeArrowheads="1" noChangeAspect="1"/>
                          </pic:cNvPicPr>
                        </pic:nvPicPr>
                        <pic:blipFill>
                          <a:blip r:embed="rId559"/>
                          <a:stretch>
                            <a:fillRect/>
                          </a:stretch>
                        </pic:blipFill>
                        <pic:spPr bwMode="auto">
                          <a:xfrm>
                            <a:off x="0" y="0"/>
                            <a:ext cx="5969000" cy="2652888"/>
                          </a:xfrm>
                          <a:prstGeom prst="rect">
                            <a:avLst/>
                          </a:prstGeom>
                          <a:noFill/>
                          <a:ln w="9525">
                            <a:noFill/>
                            <a:headEnd/>
                            <a:tailEnd/>
                          </a:ln>
                        </pic:spPr>
                      </pic:pic>
                    </a:graphicData>
                  </a:graphic>
                </wp:inline>
              </w:drawing>
            </w:r>
          </w:p>
          <w:bookmarkEnd w:id="562"/>
        </w:tc>
      </w:tr>
    </w:tbl>
    <w:tbl>
      <w:tblPr>
        <w:tblStyle w:val="Table"/>
        <w:tblW w:type="pct" w:w="5000"/>
        <w:tblLayout w:type="fixed"/>
        <w:tblLook w:firstRow="0" w:lastRow="0" w:firstColumn="0" w:lastColumn="0" w:noHBand="0" w:noVBand="0" w:val="0000"/>
      </w:tblPr>
      <w:tblGrid>
        <w:gridCol w:w="7920"/>
      </w:tblGrid>
      <w:tr>
        <w:tc>
          <w:tcPr/>
          <w:bookmarkStart w:id="566" w:name="fig-reglementation-feux"/>
          <w:p>
            <w:pPr>
              <w:jc w:val="center"/>
            </w:pPr>
            <w:pPr>
              <w:jc w:val="left"/>
              <w:spacing w:before="200"/>
              <w:pStyle w:val="ImageCaption"/>
            </w:pPr>
            <w:r>
              <w:t xml:space="preserve">Figure 7.16: La pratique du feu devrait être… (par observatoire)</w:t>
            </w:r>
          </w:p>
          <w:p>
            <w:pPr>
              <w:pStyle w:val="Compact"/>
              <w:jc w:val="center"/>
            </w:pPr>
            <w:r>
              <w:drawing>
                <wp:inline>
                  <wp:extent cx="5969000" cy="2984500"/>
                  <wp:effectExtent b="0" l="0" r="0" t="0"/>
                  <wp:docPr descr="" title="" id="564" name="Picture"/>
                  <a:graphic>
                    <a:graphicData uri="http://schemas.openxmlformats.org/drawingml/2006/picture">
                      <pic:pic>
                        <pic:nvPicPr>
                          <pic:cNvPr descr="07_rapport_environnement_files/figure-docx/fig-reglementation-feux-1.png" id="565" name="Picture"/>
                          <pic:cNvPicPr>
                            <a:picLocks noChangeArrowheads="1" noChangeAspect="1"/>
                          </pic:cNvPicPr>
                        </pic:nvPicPr>
                        <pic:blipFill>
                          <a:blip r:embed="rId563"/>
                          <a:stretch>
                            <a:fillRect/>
                          </a:stretch>
                        </pic:blipFill>
                        <pic:spPr bwMode="auto">
                          <a:xfrm>
                            <a:off x="0" y="0"/>
                            <a:ext cx="5969000" cy="2984500"/>
                          </a:xfrm>
                          <a:prstGeom prst="rect">
                            <a:avLst/>
                          </a:prstGeom>
                          <a:noFill/>
                          <a:ln w="9525">
                            <a:noFill/>
                            <a:headEnd/>
                            <a:tailEnd/>
                          </a:ln>
                        </pic:spPr>
                      </pic:pic>
                    </a:graphicData>
                  </a:graphic>
                </wp:inline>
              </w:drawing>
            </w:r>
          </w:p>
          <w:bookmarkEnd w:id="566"/>
        </w:tc>
      </w:tr>
    </w:tbl>
    <w:bookmarkEnd w:id="567"/>
    <w:bookmarkEnd w:id="568"/>
    <w:bookmarkStart w:id="599" w:name="sec-protection"/>
    <w:p>
      <w:pPr>
        <w:pStyle w:val="Titre2"/>
      </w:pPr>
      <w:r>
        <w:t xml:space="preserve">7.4 Protection de l’Aire protégée</w:t>
      </w:r>
    </w:p>
    <w:bookmarkStart w:id="573" w:name="connaissance-de-laire-protégée"/>
    <w:p>
      <w:pPr>
        <w:pStyle w:val="Titre3"/>
      </w:pPr>
      <w:r>
        <w:t xml:space="preserve">7.4.1 Connaissance de l’Aire protégée</w:t>
      </w:r>
    </w:p>
    <w:p>
      <w:pPr>
        <w:pStyle w:val="FirstParagraph"/>
      </w:pPr>
      <w:r>
        <w:t xml:space="preserve">Le niveau de connaissance de l’Aire protégée et l’adhésion des ménages au principe de protection constituent des préalables à toute stratégie de conservation participative.</w:t>
      </w:r>
    </w:p>
    <w:tbl>
      <w:tblPr>
        <w:tblStyle w:val="Table"/>
        <w:tblW w:type="pct" w:w="5000"/>
        <w:tblLayout w:type="fixed"/>
        <w:tblLook w:firstRow="0" w:lastRow="0" w:firstColumn="0" w:lastColumn="0" w:noHBand="0" w:noVBand="0" w:val="0000"/>
      </w:tblPr>
      <w:tblGrid>
        <w:gridCol w:w="7920"/>
      </w:tblGrid>
      <w:tr>
        <w:tc>
          <w:tcPr/>
          <w:bookmarkStart w:id="569" w:name="tbl-connaissance-ap"/>
          <w:p>
            <w:pPr>
              <w:jc w:val="center"/>
            </w:pPr>
            <w:pPr>
              <w:jc w:val="left"/>
              <w:spacing w:before="200"/>
              <w:pStyle w:val="ImageCaption"/>
            </w:pPr>
            <w:r>
              <w:t xml:space="preserve">Table 7.4: Connaissance de l’Aire protégée et demande de protection</w:t>
            </w:r>
          </w:p>
          <w:bookmarkEnd w:id="569"/>
        </w:tc>
      </w:tr>
    </w:tbl>
    <w:p>
      <w:pPr>
        <w:pStyle w:val="CaptionedFigure"/>
      </w:pPr>
      <w:r>
        <w:drawing>
          <wp:inline>
            <wp:extent cx="4620126" cy="3696101"/>
            <wp:effectExtent b="0" l="0" r="0" t="0"/>
            <wp:docPr descr="Connaissance de l’Aire protégée et demande de protection (% de Oui)" title="" id="571" name="Picture"/>
            <a:graphic>
              <a:graphicData uri="http://schemas.openxmlformats.org/drawingml/2006/picture">
                <pic:pic>
                  <pic:nvPicPr>
                    <pic:cNvPr descr="07_rapport_environnement_files/figure-docx/fig_connaissance_ap-1.png" id="572" name="Picture"/>
                    <pic:cNvPicPr>
                      <a:picLocks noChangeArrowheads="1" noChangeAspect="1"/>
                    </pic:cNvPicPr>
                  </pic:nvPicPr>
                  <pic:blipFill>
                    <a:blip r:embed="rId57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Connaissance de l’Aire protégée et demande de protection (% de Oui)</w:t>
      </w:r>
    </w:p>
    <w:bookmarkEnd w:id="573"/>
    <w:bookmarkStart w:id="578" w:name="impact-perçu-des-actions-de-lap"/>
    <w:p>
      <w:pPr>
        <w:pStyle w:val="Titre3"/>
      </w:pPr>
      <w:r>
        <w:t xml:space="preserve">7.4.2 Impact perçu des actions de l’AP</w:t>
      </w:r>
    </w:p>
    <w:p>
      <w:pPr>
        <w:pStyle w:val="FirstParagraph"/>
      </w:pPr>
      <w:r>
        <w:t xml:space="preserve">Les ménages qui ont entendu parler de l’AP jugent l’impact de ses actions sur trois dimensions : économique, sociale et environnementale.</w:t>
      </w:r>
    </w:p>
    <w:tbl>
      <w:tblPr>
        <w:tblStyle w:val="Table"/>
        <w:tblW w:type="pct" w:w="5000"/>
        <w:tblLayout w:type="fixed"/>
        <w:tblLook w:firstRow="0" w:lastRow="0" w:firstColumn="0" w:lastColumn="0" w:noHBand="0" w:noVBand="0" w:val="0000"/>
      </w:tblPr>
      <w:tblGrid>
        <w:gridCol w:w="7920"/>
      </w:tblGrid>
      <w:tr>
        <w:tc>
          <w:tcPr/>
          <w:bookmarkStart w:id="577" w:name="fig-jugement-ap"/>
          <w:p>
            <w:pPr>
              <w:jc w:val="center"/>
            </w:pPr>
            <w:pPr>
              <w:jc w:val="left"/>
              <w:spacing w:before="200"/>
              <w:pStyle w:val="ImageCaption"/>
            </w:pPr>
            <w:r>
              <w:t xml:space="preserve">Figure 7.17: Jugement des actions de l’AP sur la situation économique, sociale et environnementale</w:t>
            </w:r>
          </w:p>
          <w:p>
            <w:pPr>
              <w:pStyle w:val="Compact"/>
              <w:jc w:val="center"/>
            </w:pPr>
            <w:r>
              <w:drawing>
                <wp:inline>
                  <wp:extent cx="5969000" cy="2984500"/>
                  <wp:effectExtent b="0" l="0" r="0" t="0"/>
                  <wp:docPr descr="" title="" id="575" name="Picture"/>
                  <a:graphic>
                    <a:graphicData uri="http://schemas.openxmlformats.org/drawingml/2006/picture">
                      <pic:pic>
                        <pic:nvPicPr>
                          <pic:cNvPr descr="07_rapport_environnement_files/figure-docx/fig-jugement-ap-1.png" id="576" name="Picture"/>
                          <pic:cNvPicPr>
                            <a:picLocks noChangeArrowheads="1" noChangeAspect="1"/>
                          </pic:cNvPicPr>
                        </pic:nvPicPr>
                        <pic:blipFill>
                          <a:blip r:embed="rId574"/>
                          <a:stretch>
                            <a:fillRect/>
                          </a:stretch>
                        </pic:blipFill>
                        <pic:spPr bwMode="auto">
                          <a:xfrm>
                            <a:off x="0" y="0"/>
                            <a:ext cx="5969000" cy="2984500"/>
                          </a:xfrm>
                          <a:prstGeom prst="rect">
                            <a:avLst/>
                          </a:prstGeom>
                          <a:noFill/>
                          <a:ln w="9525">
                            <a:noFill/>
                            <a:headEnd/>
                            <a:tailEnd/>
                          </a:ln>
                        </pic:spPr>
                      </pic:pic>
                    </a:graphicData>
                  </a:graphic>
                </wp:inline>
              </w:drawing>
            </w:r>
          </w:p>
          <w:bookmarkEnd w:id="577"/>
        </w:tc>
      </w:tr>
    </w:tbl>
    <w:bookmarkEnd w:id="578"/>
    <w:bookmarkStart w:id="583" w:name="gestionnaire-souhaité"/>
    <w:p>
      <w:pPr>
        <w:pStyle w:val="Titre3"/>
      </w:pPr>
      <w:r>
        <w:t xml:space="preserve">7.4.3 Gestionnaire souhaité</w:t>
      </w:r>
    </w:p>
    <w:p>
      <w:pPr>
        <w:pStyle w:val="FirstParagraph"/>
      </w:pPr>
      <w:r>
        <w:t xml:space="preserve">Parmi les ménages favorables à la protection, la question du gestionnaire idéal révèle les préférences des communautés en matière de gouvernance environnementale : gestion communautaire, étatique ou partenariale.</w:t>
      </w:r>
    </w:p>
    <w:tbl>
      <w:tblPr>
        <w:tblStyle w:val="Table"/>
        <w:tblW w:type="pct" w:w="5000"/>
        <w:tblLayout w:type="fixed"/>
        <w:tblLook w:firstRow="0" w:lastRow="0" w:firstColumn="0" w:lastColumn="0" w:noHBand="0" w:noVBand="0" w:val="0000"/>
      </w:tblPr>
      <w:tblGrid>
        <w:gridCol w:w="7920"/>
      </w:tblGrid>
      <w:tr>
        <w:tc>
          <w:tcPr/>
          <w:bookmarkStart w:id="582" w:name="fig-gestionnaire"/>
          <w:p>
            <w:pPr>
              <w:jc w:val="center"/>
            </w:pPr>
            <w:pPr>
              <w:jc w:val="left"/>
              <w:spacing w:before="200"/>
              <w:pStyle w:val="ImageCaption"/>
            </w:pPr>
            <w:r>
              <w:t xml:space="preserve">Figure 7.18: Qui devrait gérer l’AP ? (parmi ceux favorables à la protection)</w:t>
            </w:r>
          </w:p>
          <w:p>
            <w:pPr>
              <w:pStyle w:val="Compact"/>
              <w:jc w:val="center"/>
            </w:pPr>
            <w:r>
              <w:drawing>
                <wp:inline>
                  <wp:extent cx="5969000" cy="6632222"/>
                  <wp:effectExtent b="0" l="0" r="0" t="0"/>
                  <wp:docPr descr="" title="" id="580" name="Picture"/>
                  <a:graphic>
                    <a:graphicData uri="http://schemas.openxmlformats.org/drawingml/2006/picture">
                      <pic:pic>
                        <pic:nvPicPr>
                          <pic:cNvPr descr="07_rapport_environnement_files/figure-docx/fig-gestionnaire-1.png" id="581" name="Picture"/>
                          <pic:cNvPicPr>
                            <a:picLocks noChangeArrowheads="1" noChangeAspect="1"/>
                          </pic:cNvPicPr>
                        </pic:nvPicPr>
                        <pic:blipFill>
                          <a:blip r:embed="rId579"/>
                          <a:stretch>
                            <a:fillRect/>
                          </a:stretch>
                        </pic:blipFill>
                        <pic:spPr bwMode="auto">
                          <a:xfrm>
                            <a:off x="0" y="0"/>
                            <a:ext cx="5969000" cy="6632222"/>
                          </a:xfrm>
                          <a:prstGeom prst="rect">
                            <a:avLst/>
                          </a:prstGeom>
                          <a:noFill/>
                          <a:ln w="9525">
                            <a:noFill/>
                            <a:headEnd/>
                            <a:tailEnd/>
                          </a:ln>
                        </pic:spPr>
                      </pic:pic>
                    </a:graphicData>
                  </a:graphic>
                </wp:inline>
              </w:drawing>
            </w:r>
          </w:p>
          <w:bookmarkEnd w:id="582"/>
        </w:tc>
      </w:tr>
    </w:tbl>
    <w:bookmarkEnd w:id="583"/>
    <w:bookmarkStart w:id="588" w:name="mesures-de-protection-souhaitées"/>
    <w:p>
      <w:pPr>
        <w:pStyle w:val="Titre3"/>
      </w:pPr>
      <w:r>
        <w:t xml:space="preserve">7.4.4 Mesures de protection souhaitées</w:t>
      </w:r>
    </w:p>
    <w:p>
      <w:pPr>
        <w:pStyle w:val="FirstParagraph"/>
      </w:pPr>
      <w:r>
        <w:t xml:space="preserve">Les mesures de protection souhaitées par les ménages vont de l’interdiction stricte des accès à des approches plus souples intégrant le développement d’activités génératrices de revenus (AGR) et la valorisation des savoirs traditionnels.</w:t>
      </w:r>
    </w:p>
    <w:tbl>
      <w:tblPr>
        <w:tblStyle w:val="Table"/>
        <w:tblW w:type="pct" w:w="5000"/>
        <w:tblLayout w:type="fixed"/>
        <w:tblLook w:firstRow="0" w:lastRow="0" w:firstColumn="0" w:lastColumn="0" w:noHBand="0" w:noVBand="0" w:val="0000"/>
      </w:tblPr>
      <w:tblGrid>
        <w:gridCol w:w="7920"/>
      </w:tblGrid>
      <w:tr>
        <w:tc>
          <w:tcPr/>
          <w:bookmarkStart w:id="587" w:name="fig-mesures-protection"/>
          <w:p>
            <w:pPr>
              <w:jc w:val="center"/>
            </w:pPr>
            <w:pPr>
              <w:jc w:val="left"/>
              <w:spacing w:before="200"/>
              <w:pStyle w:val="ImageCaption"/>
            </w:pPr>
            <w:r>
              <w:t xml:space="preserve">Figure 7.19: Mesures souhaitées pour protéger l’AP (% de Oui, parmi ceux favorables)</w:t>
            </w:r>
          </w:p>
          <w:p>
            <w:pPr>
              <w:pStyle w:val="Compact"/>
              <w:jc w:val="center"/>
            </w:pPr>
            <w:r>
              <w:drawing>
                <wp:inline>
                  <wp:extent cx="5969000" cy="5969000"/>
                  <wp:effectExtent b="0" l="0" r="0" t="0"/>
                  <wp:docPr descr="" title="" id="585" name="Picture"/>
                  <a:graphic>
                    <a:graphicData uri="http://schemas.openxmlformats.org/drawingml/2006/picture">
                      <pic:pic>
                        <pic:nvPicPr>
                          <pic:cNvPr descr="07_rapport_environnement_files/figure-docx/fig-mesures-protection-1.png" id="586" name="Picture"/>
                          <pic:cNvPicPr>
                            <a:picLocks noChangeArrowheads="1" noChangeAspect="1"/>
                          </pic:cNvPicPr>
                        </pic:nvPicPr>
                        <pic:blipFill>
                          <a:blip r:embed="rId584"/>
                          <a:stretch>
                            <a:fillRect/>
                          </a:stretch>
                        </pic:blipFill>
                        <pic:spPr bwMode="auto">
                          <a:xfrm>
                            <a:off x="0" y="0"/>
                            <a:ext cx="5969000" cy="5969000"/>
                          </a:xfrm>
                          <a:prstGeom prst="rect">
                            <a:avLst/>
                          </a:prstGeom>
                          <a:noFill/>
                          <a:ln w="9525">
                            <a:noFill/>
                            <a:headEnd/>
                            <a:tailEnd/>
                          </a:ln>
                        </pic:spPr>
                      </pic:pic>
                    </a:graphicData>
                  </a:graphic>
                </wp:inline>
              </w:drawing>
            </w:r>
          </w:p>
          <w:bookmarkEnd w:id="587"/>
        </w:tc>
      </w:tr>
    </w:tbl>
    <w:bookmarkEnd w:id="588"/>
    <w:bookmarkStart w:id="593" w:name="Xb8ae756bccb17fd6df4bc4692a06ffe8634129b"/>
    <w:p>
      <w:pPr>
        <w:pStyle w:val="Titre3"/>
      </w:pPr>
      <w:r>
        <w:t xml:space="preserve">7.4.5 Pauvreté vs. environnement : quelle priorité ?</w:t>
      </w:r>
    </w:p>
    <w:p>
      <w:pPr>
        <w:pStyle w:val="FirstParagraph"/>
      </w:pPr>
      <w:r>
        <w:t xml:space="preserve">Cette question met en tension deux impératifs : la lutte contre la pauvreté et la protection de l’environnement. La répartition des réponses éclaire le positionnement des ménages face à ce dilemme central pour les politiques de développement durable.</w:t>
      </w:r>
    </w:p>
    <w:tbl>
      <w:tblPr>
        <w:tblStyle w:val="Table"/>
        <w:tblW w:type="pct" w:w="5000"/>
        <w:tblLayout w:type="fixed"/>
        <w:tblLook w:firstRow="0" w:lastRow="0" w:firstColumn="0" w:lastColumn="0" w:noHBand="0" w:noVBand="0" w:val="0000"/>
      </w:tblPr>
      <w:tblGrid>
        <w:gridCol w:w="7920"/>
      </w:tblGrid>
      <w:tr>
        <w:tc>
          <w:tcPr/>
          <w:bookmarkStart w:id="592" w:name="fig-priorite"/>
          <w:p>
            <w:pPr>
              <w:jc w:val="center"/>
            </w:pPr>
            <w:pPr>
              <w:jc w:val="left"/>
              <w:spacing w:before="200"/>
              <w:pStyle w:val="ImageCaption"/>
            </w:pPr>
            <w:r>
              <w:t xml:space="preserve">Figure 7.20: Pauvreté vs. protection de l’environnement : quelle priorité ? (par observatoire)</w:t>
            </w:r>
          </w:p>
          <w:p>
            <w:pPr>
              <w:pStyle w:val="Compact"/>
              <w:jc w:val="center"/>
            </w:pPr>
            <w:r>
              <w:drawing>
                <wp:inline>
                  <wp:extent cx="5969000" cy="5490236"/>
                  <wp:effectExtent b="0" l="0" r="0" t="0"/>
                  <wp:docPr descr="" title="" id="590" name="Picture"/>
                  <a:graphic>
                    <a:graphicData uri="http://schemas.openxmlformats.org/drawingml/2006/picture">
                      <pic:pic>
                        <pic:nvPicPr>
                          <pic:cNvPr descr="07_rapport_environnement_files/figure-docx/fig-priorite-1.png" id="591" name="Picture"/>
                          <pic:cNvPicPr>
                            <a:picLocks noChangeArrowheads="1" noChangeAspect="1"/>
                          </pic:cNvPicPr>
                        </pic:nvPicPr>
                        <pic:blipFill>
                          <a:blip r:embed="rId589"/>
                          <a:stretch>
                            <a:fillRect/>
                          </a:stretch>
                        </pic:blipFill>
                        <pic:spPr bwMode="auto">
                          <a:xfrm>
                            <a:off x="0" y="0"/>
                            <a:ext cx="5969000" cy="5490236"/>
                          </a:xfrm>
                          <a:prstGeom prst="rect">
                            <a:avLst/>
                          </a:prstGeom>
                          <a:noFill/>
                          <a:ln w="9525">
                            <a:noFill/>
                            <a:headEnd/>
                            <a:tailEnd/>
                          </a:ln>
                        </pic:spPr>
                      </pic:pic>
                    </a:graphicData>
                  </a:graphic>
                </wp:inline>
              </w:drawing>
            </w:r>
          </w:p>
          <w:bookmarkEnd w:id="592"/>
        </w:tc>
      </w:tr>
    </w:tbl>
    <w:bookmarkEnd w:id="593"/>
    <w:bookmarkStart w:id="598" w:name="connaissance-des-actions-de-protection"/>
    <w:p>
      <w:pPr>
        <w:pStyle w:val="Titre3"/>
      </w:pPr>
      <w:r>
        <w:t xml:space="preserve">7.4.6 Connaissance des actions de protection</w:t>
      </w:r>
    </w:p>
    <w:p>
      <w:pPr>
        <w:pStyle w:val="FirstParagraph"/>
      </w:pPr>
      <w:r>
        <w:t xml:space="preserve">La</w:t>
      </w:r>
      <w:r>
        <w:t xml:space="preserve"> </w:t>
      </w:r>
      <w:hyperlink w:anchor="fig-actions-ap">
        <w:r>
          <w:rPr>
            <w:rStyle w:val="Lienhypertexte"/>
          </w:rPr>
          <w:t xml:space="preserve">Figure 7.21</w:t>
        </w:r>
      </w:hyperlink>
      <w:r>
        <w:t xml:space="preserve"> </w:t>
      </w:r>
      <w:r>
        <w:t xml:space="preserve">présente le degré d’information, de consultation et de bénéfice des ménages vis-à-vis des différents types d’actions menées autour de l’AP.</w:t>
      </w:r>
    </w:p>
    <w:tbl>
      <w:tblPr>
        <w:tblStyle w:val="Table"/>
        <w:tblW w:type="pct" w:w="5000"/>
        <w:tblLayout w:type="fixed"/>
        <w:tblLook w:firstRow="0" w:lastRow="0" w:firstColumn="0" w:lastColumn="0" w:noHBand="0" w:noVBand="0" w:val="0000"/>
      </w:tblPr>
      <w:tblGrid>
        <w:gridCol w:w="7920"/>
      </w:tblGrid>
      <w:tr>
        <w:tc>
          <w:tcPr/>
          <w:bookmarkStart w:id="597" w:name="fig-actions-ap"/>
          <w:p>
            <w:pPr>
              <w:jc w:val="center"/>
            </w:pPr>
            <w:pPr>
              <w:jc w:val="left"/>
              <w:spacing w:before="200"/>
              <w:pStyle w:val="ImageCaption"/>
            </w:pPr>
            <w:r>
              <w:t xml:space="preserve">Figure 7.21: Information, consultation et bénéfice des actions de l’AP (% de Oui), par observatoire</w:t>
            </w:r>
          </w:p>
          <w:p>
            <w:pPr>
              <w:pStyle w:val="Compact"/>
              <w:jc w:val="center"/>
            </w:pPr>
            <w:r>
              <w:drawing>
                <wp:inline>
                  <wp:extent cx="5969000" cy="4178300"/>
                  <wp:effectExtent b="0" l="0" r="0" t="0"/>
                  <wp:docPr descr="" title="" id="595" name="Picture"/>
                  <a:graphic>
                    <a:graphicData uri="http://schemas.openxmlformats.org/drawingml/2006/picture">
                      <pic:pic>
                        <pic:nvPicPr>
                          <pic:cNvPr descr="07_rapport_environnement_files/figure-docx/fig-actions-ap-1.png" id="596" name="Picture"/>
                          <pic:cNvPicPr>
                            <a:picLocks noChangeArrowheads="1" noChangeAspect="1"/>
                          </pic:cNvPicPr>
                        </pic:nvPicPr>
                        <pic:blipFill>
                          <a:blip r:embed="rId594"/>
                          <a:stretch>
                            <a:fillRect/>
                          </a:stretch>
                        </pic:blipFill>
                        <pic:spPr bwMode="auto">
                          <a:xfrm>
                            <a:off x="0" y="0"/>
                            <a:ext cx="5969000" cy="4178300"/>
                          </a:xfrm>
                          <a:prstGeom prst="rect">
                            <a:avLst/>
                          </a:prstGeom>
                          <a:noFill/>
                          <a:ln w="9525">
                            <a:noFill/>
                            <a:headEnd/>
                            <a:tailEnd/>
                          </a:ln>
                        </pic:spPr>
                      </pic:pic>
                    </a:graphicData>
                  </a:graphic>
                </wp:inline>
              </w:drawing>
            </w:r>
          </w:p>
          <w:bookmarkEnd w:id="597"/>
        </w:tc>
      </w:tr>
    </w:tbl>
    <w:bookmarkEnd w:id="598"/>
    <w:bookmarkEnd w:id="599"/>
    <w:bookmarkEnd w:id="600"/>
    <w:bookmarkStart w:id="645" w:name="cataclysmes-et-catastrophes"/>
    <w:p>
      <w:pPr>
        <w:pStyle w:val="Titre1"/>
      </w:pPr>
      <w:r>
        <w:t xml:space="preserve">8. Cataclysmes et catastrophes</w:t>
      </w:r>
    </w:p>
    <w:p>
      <w:pPr>
        <w:pStyle w:val="FirstParagraph"/>
      </w:pPr>
      <w:r>
        <w:t xml:space="preserve">Les ménages ruraux de Madagascar sont régulièrement exposés à des aléas climatiques et biologiques : sécheresse, cyclones, inondations, invasions de criquets ou de rats, etc. Ce chapitre analyse la prévalence et la sévérité des cataclysmes subis par les ménages des observatoires d’Alaotra et de Marovoay au cours de la campagne 2025 (octobre 2024-septembre 2025).</w:t>
      </w:r>
    </w:p>
    <w:p>
      <w:pPr>
        <w:pStyle w:val="Corpsdetexte"/>
      </w:pPr>
      <w:r>
        <w:t xml:space="preserve">Deux fichiers de données sont mobilisés :</w:t>
      </w:r>
    </w:p>
    <w:p>
      <w:pPr>
        <w:pStyle w:val="Compact"/>
        <w:numPr>
          <w:ilvl w:val="0"/>
          <w:numId w:val="1002"/>
        </w:numPr>
      </w:pPr>
      <w:r>
        <w:rPr>
          <w:rStyle w:val="VerbatimChar"/>
          <w:b/>
          <w:bCs/>
        </w:rPr>
        <w:t xml:space="preserve">res_cc</w:t>
      </w:r>
      <w:r>
        <w:t xml:space="preserve"> </w:t>
      </w:r>
      <w:r>
        <w:t xml:space="preserve">: un enregistrement par ménage et par type de catastrophe, avec les dégâts sur le logement, l’élevage et les personnes ;</w:t>
      </w:r>
    </w:p>
    <w:p>
      <w:pPr>
        <w:pStyle w:val="Compact"/>
        <w:numPr>
          <w:ilvl w:val="0"/>
          <w:numId w:val="1002"/>
        </w:numPr>
      </w:pPr>
      <w:r>
        <w:rPr>
          <w:rStyle w:val="VerbatimChar"/>
          <w:b/>
          <w:bCs/>
        </w:rPr>
        <w:t xml:space="preserve">res_cca</w:t>
      </w:r>
      <w:r>
        <w:t xml:space="preserve"> </w:t>
      </w:r>
      <w:r>
        <w:t xml:space="preserve">: les dégâts agricoles détaillés par culture et par type d’aléa (champs et stocks).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01" name="Picture"/>
                  <a:graphic>
                    <a:graphicData uri="http://schemas.openxmlformats.org/drawingml/2006/picture">
                      <pic:pic>
                        <pic:nvPicPr>
                          <pic:cNvPr descr="C:\Users\fbede\AppData\Local\Programs\Quarto\share\formats\docx\warning.png" id="602"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609" w:name="prévalence-des-cataclysmes"/>
    <w:p>
      <w:pPr>
        <w:pStyle w:val="Titre2"/>
      </w:pPr>
      <w:r>
        <w:t xml:space="preserve">8.1 Prévalence des cataclysmes</w:t>
      </w:r>
    </w:p>
    <w:p>
      <w:pPr>
        <w:pStyle w:val="FirstParagraph"/>
      </w:pPr>
      <w:r>
        <w:t xml:space="preserve">L’exposition aux aléas climatiques et biologiques est très élevée dans les deux observatoires.</w:t>
      </w:r>
    </w:p>
    <w:p>
      <w:pPr>
        <w:pStyle w:val="Corpsdetexte"/>
      </w:pPr>
      <w:r>
        <w:t xml:space="preserve">A Marovoay, 71.1 % des ménages déclarent avoir été touchés par au moins un événement. Les ménages affectés subissent en moyenne 1.5 événements. Le cataclysme le plus fréquemment cité est « Sécheresse ».</w:t>
      </w:r>
    </w:p>
    <w:bookmarkStart w:id="603" w:name="taux-dexposition-global"/>
    <w:p>
      <w:pPr>
        <w:pStyle w:val="Titre3"/>
      </w:pPr>
      <w:r>
        <w:t xml:space="preserve">8.1.1 Taux d’exposition global</w:t>
      </w:r>
    </w:p>
    <w:p>
      <w:pPr>
        <w:pStyle w:val="FirstParagraph"/>
      </w:pPr>
      <w:r>
        <w:t xml:space="preserve">Quelle part des ménages enquêtés ont été touchés par au moins une catastrophe au cours de la campagne ?</w:t>
      </w:r>
    </w:p>
    <w:p>
      <w:pPr>
        <w:pStyle w:val="Corpsdetexte"/>
      </w:pPr>
      <w:r>
        <w:t xml:space="preserve">Le taux d’exposition aux cataclysmes est très élevé dans les deux observatoires.</w:t>
      </w:r>
    </w:p>
    <w:bookmarkEnd w:id="603"/>
    <w:bookmarkStart w:id="607" w:name="prévalence-par-type-de-catastrophe"/>
    <w:p>
      <w:pPr>
        <w:pStyle w:val="Titre3"/>
      </w:pPr>
      <w:r>
        <w:t xml:space="preserve">8.1.2 Prévalence par type de catastrophe</w:t>
      </w:r>
    </w:p>
    <w:p>
      <w:pPr>
        <w:pStyle w:val="FirstParagraph"/>
      </w:pPr>
      <w:r>
        <w:t xml:space="preserve">La sécheresse est de loin le Catastrophe le plus fréquemment cité, suivi des maladies (cultures/élevage), des rats et des facteurs humains (vol, dégradation). Les cyclones et inondations ont touché un nombre plus limité de ménages dans ces deux observatoires pour cette campagne.</w:t>
      </w:r>
    </w:p>
    <w:p>
      <w:pPr>
        <w:pStyle w:val="Corpsdetexte"/>
      </w:pPr>
      <w:r>
        <w:drawing>
          <wp:inline>
            <wp:extent cx="4620126" cy="9240252"/>
            <wp:effectExtent b="0" l="0" r="0" t="0"/>
            <wp:docPr descr="" title="" id="605" name="Picture"/>
            <a:graphic>
              <a:graphicData uri="http://schemas.openxmlformats.org/drawingml/2006/picture">
                <pic:pic>
                  <pic:nvPicPr>
                    <pic:cNvPr descr="08_cataclysme_catastrophe_files/figure-docx/g1_prevalence_type-1.png" id="606" name="Picture"/>
                    <pic:cNvPicPr>
                      <a:picLocks noChangeArrowheads="1" noChangeAspect="1"/>
                    </pic:cNvPicPr>
                  </pic:nvPicPr>
                  <pic:blipFill>
                    <a:blip r:embed="rId604"/>
                    <a:stretch>
                      <a:fillRect/>
                    </a:stretch>
                  </pic:blipFill>
                  <pic:spPr bwMode="auto">
                    <a:xfrm>
                      <a:off x="0" y="0"/>
                      <a:ext cx="4620126" cy="9240252"/>
                    </a:xfrm>
                    <a:prstGeom prst="rect">
                      <a:avLst/>
                    </a:prstGeom>
                    <a:noFill/>
                    <a:ln w="9525">
                      <a:noFill/>
                      <a:headEnd/>
                      <a:tailEnd/>
                    </a:ln>
                  </pic:spPr>
                </pic:pic>
              </a:graphicData>
            </a:graphic>
          </wp:inline>
        </w:drawing>
      </w:r>
    </w:p>
    <w:bookmarkEnd w:id="607"/>
    <w:bookmarkStart w:id="608" w:name="nombre-moyen-de-catastrophes-par-ménage"/>
    <w:p>
      <w:pPr>
        <w:pStyle w:val="Titre3"/>
      </w:pPr>
      <w:r>
        <w:t xml:space="preserve">8.1.3 Nombre moyen de catastrophes par ménage</w:t>
      </w:r>
    </w:p>
    <w:p>
      <w:pPr>
        <w:pStyle w:val="FirstParagraph"/>
      </w:pPr>
      <w:r>
        <w:t xml:space="preserve">Un ménage peut être touché par plusieurs types de catastrophes au cours de la même campagne. Le tableau suivant indique le nombre moyen de catastrophes subies.</w:t>
      </w:r>
    </w:p>
    <w:bookmarkEnd w:id="608"/>
    <w:bookmarkEnd w:id="609"/>
    <w:bookmarkStart w:id="623" w:name="sévérité-des-dégâts"/>
    <w:p>
      <w:pPr>
        <w:pStyle w:val="Titre2"/>
      </w:pPr>
      <w:r>
        <w:t xml:space="preserve">8.2 Sévérité des dégâts</w:t>
      </w:r>
    </w:p>
    <w:p>
      <w:pPr>
        <w:pStyle w:val="FirstParagraph"/>
      </w:pPr>
      <w:r>
        <w:t xml:space="preserve">Au-delà de la simple survenance, il est essentiel d’évaluer l’ampleur des dégâts causés. Trois domaines sont documentés : le logement, l’élevage et les conséquences sur les personnes du ménage.</w:t>
      </w:r>
    </w:p>
    <w:p>
      <w:pPr>
        <w:pStyle w:val="Corpsdetexte"/>
      </w:pPr>
      <w:r>
        <w:t xml:space="preserve">Les niveaux de dégâts sont codés ainsi :</w:t>
      </w:r>
    </w:p>
    <w:p>
      <w:pPr>
        <w:pStyle w:val="Compact"/>
        <w:numPr>
          <w:ilvl w:val="0"/>
          <w:numId w:val="1003"/>
        </w:numPr>
      </w:pPr>
      <w:r>
        <w:rPr>
          <w:b/>
          <w:bCs/>
        </w:rPr>
        <w:t xml:space="preserve">Logement et élevage</w:t>
      </w:r>
      <w:r>
        <w:t xml:space="preserve"> </w:t>
      </w:r>
      <w:r>
        <w:t xml:space="preserve">: 1 = Rien, 2 = Un peu, 3 = Beaucoup (plus de la moitié), 4 = Destruction totale</w:t>
      </w:r>
    </w:p>
    <w:p>
      <w:pPr>
        <w:pStyle w:val="Compact"/>
        <w:numPr>
          <w:ilvl w:val="0"/>
          <w:numId w:val="1003"/>
        </w:numPr>
      </w:pPr>
      <w:r>
        <w:rPr>
          <w:b/>
          <w:bCs/>
        </w:rPr>
        <w:t xml:space="preserve">Personnes</w:t>
      </w:r>
      <w:r>
        <w:t xml:space="preserve"> </w:t>
      </w:r>
      <w:r>
        <w:t xml:space="preserve">: 1 = Aucun, 2 = Blessure/Maladie, 3 = Décès/Porté disparu, 4 = Manque de vivres</w:t>
      </w:r>
    </w:p>
    <w:bookmarkStart w:id="613" w:name="dégâts-sur-le-logement"/>
    <w:p>
      <w:pPr>
        <w:pStyle w:val="Titre3"/>
      </w:pPr>
      <w:r>
        <w:t xml:space="preserve">8.2.1 Dégâts sur le logement</w:t>
      </w:r>
    </w:p>
    <w:p>
      <w:pPr>
        <w:pStyle w:val="FirstParagraph"/>
      </w:pPr>
      <w:r>
        <w:t xml:space="preserve">Les dégâts sur le logement sont évalués selon quatre niveaux de gravité, du plus bénin (« Rien ») à la destruction totale. Le croisement avec le type de catastrophe permet d’identifier les aléas les plus destructeurs pour l’habitat.</w:t>
      </w:r>
    </w:p>
    <w:p>
      <w:pPr>
        <w:pStyle w:val="CaptionedFigure"/>
      </w:pPr>
      <w:r>
        <w:drawing>
          <wp:inline>
            <wp:extent cx="4620126" cy="3696101"/>
            <wp:effectExtent b="0" l="0" r="0" t="0"/>
            <wp:docPr descr="Dégâts sur le logement par type de catastrophe" title="" id="611" name="Picture"/>
            <a:graphic>
              <a:graphicData uri="http://schemas.openxmlformats.org/drawingml/2006/picture">
                <pic:pic>
                  <pic:nvPicPr>
                    <pic:cNvPr descr="08_cataclysme_catastrophe_files/figure-docx/fig_degats_logement-1.png" id="612" name="Picture"/>
                    <pic:cNvPicPr>
                      <a:picLocks noChangeArrowheads="1" noChangeAspect="1"/>
                    </pic:cNvPicPr>
                  </pic:nvPicPr>
                  <pic:blipFill>
                    <a:blip r:embed="rId61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Dégâts sur le logement par type de catastrophe</w:t>
      </w:r>
    </w:p>
    <w:bookmarkEnd w:id="613"/>
    <w:bookmarkStart w:id="614" w:name="dégâts-sur-lélevage"/>
    <w:p>
      <w:pPr>
        <w:pStyle w:val="Titre3"/>
      </w:pPr>
      <w:r>
        <w:t xml:space="preserve">8.2.2 Dégâts sur l’élevage</w:t>
      </w:r>
    </w:p>
    <w:p>
      <w:pPr>
        <w:pStyle w:val="FirstParagraph"/>
      </w:pPr>
      <w:r>
        <w:t xml:space="preserve">Les dégâts sur l’élevage sont particulièrement importants pour certains aléas : les maladies et la sécheresse peuvent entraîner des pertes significatives (catégorie « Beaucoup » ou « Destruction totale »).</w:t>
      </w:r>
    </w:p>
    <w:bookmarkEnd w:id="614"/>
    <w:bookmarkStart w:id="618" w:name="conséquences-sur-les-personnes"/>
    <w:p>
      <w:pPr>
        <w:pStyle w:val="Titre3"/>
      </w:pPr>
      <w:r>
        <w:t xml:space="preserve">8.2.3 Conséquences sur les personnes</w:t>
      </w:r>
    </w:p>
    <w:p>
      <w:pPr>
        <w:pStyle w:val="CaptionedFigure"/>
      </w:pPr>
      <w:r>
        <w:drawing>
          <wp:inline>
            <wp:extent cx="4620126" cy="9240252"/>
            <wp:effectExtent b="0" l="0" r="0" t="0"/>
            <wp:docPr descr="Conséquences des cataclysmes sur les personnes" title="" id="616" name="Picture"/>
            <a:graphic>
              <a:graphicData uri="http://schemas.openxmlformats.org/drawingml/2006/picture">
                <pic:pic>
                  <pic:nvPicPr>
                    <pic:cNvPr descr="08_cataclysme_catastrophe_files/figure-docx/fig_degats_personnes-1.png" id="617" name="Picture"/>
                    <pic:cNvPicPr>
                      <a:picLocks noChangeArrowheads="1" noChangeAspect="1"/>
                    </pic:cNvPicPr>
                  </pic:nvPicPr>
                  <pic:blipFill>
                    <a:blip r:embed="rId615"/>
                    <a:stretch>
                      <a:fillRect/>
                    </a:stretch>
                  </pic:blipFill>
                  <pic:spPr bwMode="auto">
                    <a:xfrm>
                      <a:off x="0" y="0"/>
                      <a:ext cx="4620126" cy="9240252"/>
                    </a:xfrm>
                    <a:prstGeom prst="rect">
                      <a:avLst/>
                    </a:prstGeom>
                    <a:noFill/>
                    <a:ln w="9525">
                      <a:noFill/>
                      <a:headEnd/>
                      <a:tailEnd/>
                    </a:ln>
                  </pic:spPr>
                </pic:pic>
              </a:graphicData>
            </a:graphic>
          </wp:inline>
        </w:drawing>
      </w:r>
    </w:p>
    <w:p>
      <w:pPr>
        <w:pStyle w:val="ImageCaption"/>
      </w:pPr>
      <w:r>
        <w:t xml:space="preserve">Conséquences des cataclysmes sur les personnes</w:t>
      </w:r>
    </w:p>
    <w:p>
      <w:pPr>
        <w:pStyle w:val="Corpsdetexte"/>
      </w:pPr>
      <w:r>
        <w:t xml:space="preserve">La conséquence la plus répandue est le manque de vivres, directement lié aux pertes agricoles. Les décès et disparitions, bien que rares, sont signalés pour certains cataclysmes (inondations, cyclones).</w:t>
      </w:r>
    </w:p>
    <w:bookmarkEnd w:id="618"/>
    <w:bookmarkStart w:id="622" w:name="X8a171b41bcc09a3f8d1a3f452aa03aa06659af0"/>
    <w:p>
      <w:pPr>
        <w:pStyle w:val="Titre3"/>
      </w:pPr>
      <w:r>
        <w:t xml:space="preserve">8.2.4 Profil de sévérité des principaux cataclysmes</w:t>
      </w:r>
    </w:p>
    <w:p>
      <w:pPr>
        <w:pStyle w:val="FirstParagraph"/>
      </w:pPr>
      <w:r>
        <w:drawing>
          <wp:inline>
            <wp:extent cx="4620126" cy="3696101"/>
            <wp:effectExtent b="0" l="0" r="0" t="0"/>
            <wp:docPr descr="" title="" id="620" name="Picture"/>
            <a:graphic>
              <a:graphicData uri="http://schemas.openxmlformats.org/drawingml/2006/picture">
                <pic:pic>
                  <pic:nvPicPr>
                    <pic:cNvPr descr="08_cataclysme_catastrophe_files/figure-docx/g2_severite_profil-1.png" id="621" name="Picture"/>
                    <pic:cNvPicPr>
                      <a:picLocks noChangeArrowheads="1" noChangeAspect="1"/>
                    </pic:cNvPicPr>
                  </pic:nvPicPr>
                  <pic:blipFill>
                    <a:blip r:embed="rId619"/>
                    <a:stretch>
                      <a:fillRect/>
                    </a:stretch>
                  </pic:blipFill>
                  <pic:spPr bwMode="auto">
                    <a:xfrm>
                      <a:off x="0" y="0"/>
                      <a:ext cx="4620126" cy="3696101"/>
                    </a:xfrm>
                    <a:prstGeom prst="rect">
                      <a:avLst/>
                    </a:prstGeom>
                    <a:noFill/>
                    <a:ln w="9525">
                      <a:noFill/>
                      <a:headEnd/>
                      <a:tailEnd/>
                    </a:ln>
                  </pic:spPr>
                </pic:pic>
              </a:graphicData>
            </a:graphic>
          </wp:inline>
        </w:drawing>
      </w:r>
    </w:p>
    <w:p>
      <w:pPr>
        <w:pStyle w:val="Corpsdetexte"/>
      </w:pPr>
      <w:r>
        <w:t xml:space="preserve">Le graphique précédent révèle que la sévérité des dégâts sur l’élevage varie fortement selon le type de catastrophe. Les destructions totales sont surtout associées aux événements les plus violents (cyclones, inondations), tandis que les sécheresses et les maladies animales engendrent des pertes plus diffuses mais néanmoins significatives.</w:t>
      </w:r>
    </w:p>
    <w:bookmarkEnd w:id="622"/>
    <w:bookmarkEnd w:id="623"/>
    <w:bookmarkStart w:id="627" w:name="saisonnalité-des-cataclysmes"/>
    <w:p>
      <w:pPr>
        <w:pStyle w:val="Titre2"/>
      </w:pPr>
      <w:r>
        <w:t xml:space="preserve">8.3 Saisonnalité des cataclysmes</w:t>
      </w:r>
    </w:p>
    <w:p>
      <w:pPr>
        <w:pStyle w:val="FirstParagraph"/>
      </w:pPr>
      <w:r>
        <w:t xml:space="preserve">Les événements peuvent survenir en période de soudure (lorsque les stocks sont déjà bas) ou hors soudure. La coïncidence avec la soudure aggrave considérablement l’impact sur la sécurité alimentaire.</w:t>
      </w:r>
    </w:p>
    <w:p>
      <w:pPr>
        <w:pStyle w:val="Corpsdetexte"/>
      </w:pPr>
      <w:r>
        <w:drawing>
          <wp:inline>
            <wp:extent cx="4620126" cy="3696101"/>
            <wp:effectExtent b="0" l="0" r="0" t="0"/>
            <wp:docPr descr="" title="" id="625" name="Picture"/>
            <a:graphic>
              <a:graphicData uri="http://schemas.openxmlformats.org/drawingml/2006/picture">
                <pic:pic>
                  <pic:nvPicPr>
                    <pic:cNvPr descr="08_cataclysme_catastrophe_files/figure-docx/g3_saisonnalite-1.png" id="626" name="Picture"/>
                    <pic:cNvPicPr>
                      <a:picLocks noChangeArrowheads="1" noChangeAspect="1"/>
                    </pic:cNvPicPr>
                  </pic:nvPicPr>
                  <pic:blipFill>
                    <a:blip r:embed="rId624"/>
                    <a:stretch>
                      <a:fillRect/>
                    </a:stretch>
                  </pic:blipFill>
                  <pic:spPr bwMode="auto">
                    <a:xfrm>
                      <a:off x="0" y="0"/>
                      <a:ext cx="4620126" cy="3696101"/>
                    </a:xfrm>
                    <a:prstGeom prst="rect">
                      <a:avLst/>
                    </a:prstGeom>
                    <a:noFill/>
                    <a:ln w="9525">
                      <a:noFill/>
                      <a:headEnd/>
                      <a:tailEnd/>
                    </a:ln>
                  </pic:spPr>
                </pic:pic>
              </a:graphicData>
            </a:graphic>
          </wp:inline>
        </w:drawing>
      </w:r>
    </w:p>
    <w:p>
      <w:pPr>
        <w:pStyle w:val="Corpsdetexte"/>
      </w:pPr>
      <w:r>
        <w:t xml:space="preserve">La majorité des cataclysmes surviennent pendant la période de soudure, ce qui amplifie leur impact sur la sécurité alimentaire des ménages. La sécheresse et les maladies, notamment, frappent souvent lorsque les stocks sont déjà au plus bas.</w:t>
      </w:r>
    </w:p>
    <w:bookmarkEnd w:id="627"/>
    <w:bookmarkStart w:id="644" w:name="dégâts-agricoles-par-culture"/>
    <w:p>
      <w:pPr>
        <w:pStyle w:val="Titre2"/>
      </w:pPr>
      <w:r>
        <w:t xml:space="preserve">8.4 Dégâts agricoles par culture</w:t>
      </w:r>
    </w:p>
    <w:p>
      <w:pPr>
        <w:pStyle w:val="FirstParagraph"/>
      </w:pPr>
      <w:r>
        <w:t xml:space="preserve">Le fichier</w:t>
      </w:r>
      <w:r>
        <w:t xml:space="preserve"> </w:t>
      </w:r>
      <w:r>
        <w:rPr>
          <w:rStyle w:val="VerbatimChar"/>
        </w:rPr>
        <w:t xml:space="preserve">res_cca</w:t>
      </w:r>
      <w:r>
        <w:t xml:space="preserve"> </w:t>
      </w:r>
      <w:r>
        <w:t xml:space="preserve">détaille les dégâts subis par chaque culture, en distinguant les pertes sur les champs (en cours de croissance) et sur les stocks (après récolte). Cette information est cruciale pour évaluer l’impact réel sur la production alimentaire.</w:t>
      </w:r>
    </w:p>
    <w:bookmarkStart w:id="631" w:name="cultures-les-plus-touchées"/>
    <w:p>
      <w:pPr>
        <w:pStyle w:val="Titre3"/>
      </w:pPr>
      <w:r>
        <w:t xml:space="preserve">8.4.1 Cultures les plus touchées</w:t>
      </w:r>
    </w:p>
    <w:p>
      <w:pPr>
        <w:pStyle w:val="CaptionedFigure"/>
      </w:pPr>
      <w:r>
        <w:drawing>
          <wp:inline>
            <wp:extent cx="4620126" cy="3696101"/>
            <wp:effectExtent b="0" l="0" r="0" t="0"/>
            <wp:docPr descr="Top 10 des cultures les plus touchées" title="" id="629" name="Picture"/>
            <a:graphic>
              <a:graphicData uri="http://schemas.openxmlformats.org/drawingml/2006/picture">
                <pic:pic>
                  <pic:nvPicPr>
                    <pic:cNvPr descr="08_cataclysme_catastrophe_files/figure-docx/fig_cultures_touchees-1.png" id="630" name="Picture"/>
                    <pic:cNvPicPr>
                      <a:picLocks noChangeArrowheads="1" noChangeAspect="1"/>
                    </pic:cNvPicPr>
                  </pic:nvPicPr>
                  <pic:blipFill>
                    <a:blip r:embed="rId628"/>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Top 10 des cultures les plus touchées</w:t>
      </w:r>
    </w:p>
    <w:p>
      <w:pPr>
        <w:pStyle w:val="Corpsdetexte"/>
      </w:pPr>
      <w:r>
        <w:t xml:space="preserve">Le riz, culture vivrière dominante, est de loin la culture la plus exposée aux cataclysmes. Le haricot, le maïs et le manioc figurent également parmi les cultures les plus touchées.</w:t>
      </w:r>
    </w:p>
    <w:bookmarkEnd w:id="631"/>
    <w:bookmarkStart w:id="635" w:name="X761fe4265c538f6bafac6cdcff31c03acc14793"/>
    <w:p>
      <w:pPr>
        <w:pStyle w:val="Titre3"/>
      </w:pPr>
      <w:r>
        <w:t xml:space="preserve">8.4.2 Dégâts sur les champs de riz par type de catastrophe</w:t>
      </w:r>
    </w:p>
    <w:p>
      <w:pPr>
        <w:pStyle w:val="FirstParagraph"/>
      </w:pPr>
      <w:r>
        <w:t xml:space="preserve">Le riz étant la culture la plus exposée, il est utile de décomposer la gravité des dégâts sur les champs de riz selon le type de catastrophe. La lecture croisée de la sévérité et du type d’événement permet de hiérarchiser les risques pour la production rizicole.</w:t>
      </w:r>
    </w:p>
    <w:p>
      <w:pPr>
        <w:pStyle w:val="CaptionedFigure"/>
      </w:pPr>
      <w:r>
        <w:drawing>
          <wp:inline>
            <wp:extent cx="4620126" cy="9240252"/>
            <wp:effectExtent b="0" l="0" r="0" t="0"/>
            <wp:docPr descr="Gravité des dégâts sur les champs de riz" title="" id="633" name="Picture"/>
            <a:graphic>
              <a:graphicData uri="http://schemas.openxmlformats.org/drawingml/2006/picture">
                <pic:pic>
                  <pic:nvPicPr>
                    <pic:cNvPr descr="08_cataclysme_catastrophe_files/figure-docx/fig_degats_champs_riz-1.png" id="634" name="Picture"/>
                    <pic:cNvPicPr>
                      <a:picLocks noChangeArrowheads="1" noChangeAspect="1"/>
                    </pic:cNvPicPr>
                  </pic:nvPicPr>
                  <pic:blipFill>
                    <a:blip r:embed="rId632"/>
                    <a:stretch>
                      <a:fillRect/>
                    </a:stretch>
                  </pic:blipFill>
                  <pic:spPr bwMode="auto">
                    <a:xfrm>
                      <a:off x="0" y="0"/>
                      <a:ext cx="4620126" cy="9240252"/>
                    </a:xfrm>
                    <a:prstGeom prst="rect">
                      <a:avLst/>
                    </a:prstGeom>
                    <a:noFill/>
                    <a:ln w="9525">
                      <a:noFill/>
                      <a:headEnd/>
                      <a:tailEnd/>
                    </a:ln>
                  </pic:spPr>
                </pic:pic>
              </a:graphicData>
            </a:graphic>
          </wp:inline>
        </w:drawing>
      </w:r>
    </w:p>
    <w:p>
      <w:pPr>
        <w:pStyle w:val="ImageCaption"/>
      </w:pPr>
      <w:r>
        <w:t xml:space="preserve">Gravité des dégâts sur les champs de riz</w:t>
      </w:r>
    </w:p>
    <w:bookmarkEnd w:id="635"/>
    <w:bookmarkStart w:id="639" w:name="Xcf77f7ca95e8511826fa9c1eb4f3d1682b70b3d"/>
    <w:p>
      <w:pPr>
        <w:pStyle w:val="Titre3"/>
      </w:pPr>
      <w:r>
        <w:t xml:space="preserve">8.4.3 Dégâts sur les stocks de riz par type de catastrophe</w:t>
      </w:r>
    </w:p>
    <w:p>
      <w:pPr>
        <w:pStyle w:val="CaptionedFigure"/>
      </w:pPr>
      <w:r>
        <w:drawing>
          <wp:inline>
            <wp:extent cx="4620126" cy="9240252"/>
            <wp:effectExtent b="0" l="0" r="0" t="0"/>
            <wp:docPr descr="Gravité des dégâts sur les stocks de riz" title="" id="637" name="Picture"/>
            <a:graphic>
              <a:graphicData uri="http://schemas.openxmlformats.org/drawingml/2006/picture">
                <pic:pic>
                  <pic:nvPicPr>
                    <pic:cNvPr descr="08_cataclysme_catastrophe_files/figure-docx/fig_degats_stocks_riz-1.png" id="638" name="Picture"/>
                    <pic:cNvPicPr>
                      <a:picLocks noChangeArrowheads="1" noChangeAspect="1"/>
                    </pic:cNvPicPr>
                  </pic:nvPicPr>
                  <pic:blipFill>
                    <a:blip r:embed="rId636"/>
                    <a:stretch>
                      <a:fillRect/>
                    </a:stretch>
                  </pic:blipFill>
                  <pic:spPr bwMode="auto">
                    <a:xfrm>
                      <a:off x="0" y="0"/>
                      <a:ext cx="4620126" cy="9240252"/>
                    </a:xfrm>
                    <a:prstGeom prst="rect">
                      <a:avLst/>
                    </a:prstGeom>
                    <a:noFill/>
                    <a:ln w="9525">
                      <a:noFill/>
                      <a:headEnd/>
                      <a:tailEnd/>
                    </a:ln>
                  </pic:spPr>
                </pic:pic>
              </a:graphicData>
            </a:graphic>
          </wp:inline>
        </w:drawing>
      </w:r>
    </w:p>
    <w:p>
      <w:pPr>
        <w:pStyle w:val="ImageCaption"/>
      </w:pPr>
      <w:r>
        <w:t xml:space="preserve">Gravité des dégâts sur les stocks de riz</w:t>
      </w:r>
    </w:p>
    <w:p>
      <w:pPr>
        <w:pStyle w:val="Corpsdetexte"/>
      </w:pPr>
      <w:r>
        <w:t xml:space="preserve">Les dégâts sur les stocks, bien que moins fréquents que sur les champs, affectent directement les réserves alimentaires du ménage, en particulier lorsqu’ils surviennent en période de soudure. Les rats et les insectes nuisibles constituent les principales causes de pertes post-récolte, auxquelles s’ajoutent les conditions de stockage précaires face aux intempéries.</w:t>
      </w:r>
    </w:p>
    <w:bookmarkEnd w:id="639"/>
    <w:bookmarkStart w:id="643" w:name="Xc5153409833405fb69cd75dc36cbc4fc94497fa"/>
    <w:p>
      <w:pPr>
        <w:pStyle w:val="Titre3"/>
      </w:pPr>
      <w:r>
        <w:t xml:space="preserve">8.4.4 Comparaison dégâts champs vs stocks pour les principales cultures</w:t>
      </w:r>
    </w:p>
    <w:p>
      <w:pPr>
        <w:pStyle w:val="FirstParagraph"/>
      </w:pPr>
      <w:r>
        <w:drawing>
          <wp:inline>
            <wp:extent cx="4620126" cy="3696101"/>
            <wp:effectExtent b="0" l="0" r="0" t="0"/>
            <wp:docPr descr="" title="" id="641" name="Picture"/>
            <a:graphic>
              <a:graphicData uri="http://schemas.openxmlformats.org/drawingml/2006/picture">
                <pic:pic>
                  <pic:nvPicPr>
                    <pic:cNvPr descr="08_cataclysme_catastrophe_files/figure-docx/g4_champs_vs_stocks-1.png" id="642" name="Picture"/>
                    <pic:cNvPicPr>
                      <a:picLocks noChangeArrowheads="1" noChangeAspect="1"/>
                    </pic:cNvPicPr>
                  </pic:nvPicPr>
                  <pic:blipFill>
                    <a:blip r:embed="rId640"/>
                    <a:stretch>
                      <a:fillRect/>
                    </a:stretch>
                  </pic:blipFill>
                  <pic:spPr bwMode="auto">
                    <a:xfrm>
                      <a:off x="0" y="0"/>
                      <a:ext cx="4620126" cy="3696101"/>
                    </a:xfrm>
                    <a:prstGeom prst="rect">
                      <a:avLst/>
                    </a:prstGeom>
                    <a:noFill/>
                    <a:ln w="9525">
                      <a:noFill/>
                      <a:headEnd/>
                      <a:tailEnd/>
                    </a:ln>
                  </pic:spPr>
                </pic:pic>
              </a:graphicData>
            </a:graphic>
          </wp:inline>
        </w:drawing>
      </w:r>
    </w:p>
    <w:p>
      <w:pPr>
        <w:pStyle w:val="Corpsdetexte"/>
      </w:pPr>
      <w:r>
        <w:t xml:space="preserve">Les dégâts sur les champs (cultures en cours) sont systématiquement plus fréquents que les pertes de stocks. Toutefois, les pertes de stocks, même si elles concernent moins de ménages, ont un impact direct sur les réserves alimentaires disponibles.</w:t>
      </w:r>
    </w:p>
    <w:bookmarkEnd w:id="643"/>
    <w:bookmarkEnd w:id="644"/>
    <w:bookmarkEnd w:id="645"/>
    <w:bookmarkStart w:id="692" w:name="X03cb89d846b4b88883df2a757e95414db7d381a"/>
    <w:p>
      <w:pPr>
        <w:pStyle w:val="Titre1"/>
      </w:pPr>
      <w:r>
        <w:t xml:space="preserve">9. Insertion sociale et accès des ménages aux projets</w:t>
      </w:r>
    </w:p>
    <w:p>
      <w:pPr>
        <w:pStyle w:val="FirstParagraph"/>
      </w:pPr>
      <w:r>
        <w:t xml:space="preserve">Ce chapitre analyse l’insertion sociale des ménages à travers leur appartenance à des organisations et associations, ainsi que leur accès aux projets de développement dans les observatoires d’Alaotra et de Marovoay.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646" name="Picture"/>
                  <a:graphic>
                    <a:graphicData uri="http://schemas.openxmlformats.org/drawingml/2006/picture">
                      <pic:pic>
                        <pic:nvPicPr>
                          <pic:cNvPr descr="C:\Users\fbede\AppData\Local\Programs\Quarto\share\formats\docx\warning.png" id="647"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670" w:name="sec-insertion"/>
    <w:p>
      <w:pPr>
        <w:pStyle w:val="Titre2"/>
      </w:pPr>
      <w:r>
        <w:t xml:space="preserve">9.1 Insertion sociale</w:t>
      </w:r>
    </w:p>
    <w:bookmarkStart w:id="649" w:name="appartenance-à-une-organisation"/>
    <w:p>
      <w:pPr>
        <w:pStyle w:val="Titre3"/>
      </w:pPr>
      <w:r>
        <w:t xml:space="preserve">9.1.1 Appartenance à une organisation</w:t>
      </w:r>
    </w:p>
    <w:p>
      <w:pPr>
        <w:pStyle w:val="FirstParagraph"/>
      </w:pPr>
      <w:r>
        <w:t xml:space="preserve">Sur les 519 ménages enquêtés, 287 (55.3 %) déclarent qu’au moins un de leurs membres appartient à une organisation ou association. La participation est nettement plus élevée à Marovoay qu’à Alaotra.</w:t>
      </w:r>
    </w:p>
    <w:tbl>
      <w:tblPr>
        <w:tblStyle w:val="Table"/>
        <w:tblW w:type="pct" w:w="5000"/>
        <w:tblLayout w:type="fixed"/>
        <w:tblLook w:firstRow="0" w:lastRow="0" w:firstColumn="0" w:lastColumn="0" w:noHBand="0" w:noVBand="0" w:val="0000"/>
      </w:tblPr>
      <w:tblGrid>
        <w:gridCol w:w="7920"/>
      </w:tblGrid>
      <w:tr>
        <w:tc>
          <w:tcPr/>
          <w:bookmarkStart w:id="648" w:name="tbl-adhesion"/>
          <w:p>
            <w:pPr>
              <w:jc w:val="center"/>
            </w:pPr>
            <w:pPr>
              <w:jc w:val="left"/>
              <w:spacing w:before="200"/>
              <w:pStyle w:val="ImageCaption"/>
            </w:pPr>
            <w:r>
              <w:t xml:space="preserve">Table 9.1: Appartenance à une organisation ou association</w:t>
            </w:r>
          </w:p>
          <w:bookmarkEnd w:id="648"/>
        </w:tc>
      </w:tr>
    </w:tbl>
    <w:bookmarkEnd w:id="649"/>
    <w:bookmarkStart w:id="654" w:name="nombre-dorganisations-par-ménage"/>
    <w:p>
      <w:pPr>
        <w:pStyle w:val="Titre3"/>
      </w:pPr>
      <w:r>
        <w:t xml:space="preserve">9.1.2 Nombre d’organisations par ménage</w:t>
      </w:r>
    </w:p>
    <w:p>
      <w:pPr>
        <w:pStyle w:val="FirstParagraph"/>
      </w:pPr>
      <w:r>
        <w:t xml:space="preserve">Parmi les ménages membres, la plupart n’adhèrent qu’à une seule organisation, mais certains cumulent jusqu’à quatre affiliations.</w:t>
      </w:r>
    </w:p>
    <w:tbl>
      <w:tblPr>
        <w:tblStyle w:val="Table"/>
        <w:tblW w:type="pct" w:w="5000"/>
        <w:tblLayout w:type="fixed"/>
        <w:tblLook w:firstRow="0" w:lastRow="0" w:firstColumn="0" w:lastColumn="0" w:noHBand="0" w:noVBand="0" w:val="0000"/>
      </w:tblPr>
      <w:tblGrid>
        <w:gridCol w:w="7920"/>
      </w:tblGrid>
      <w:tr>
        <w:tc>
          <w:tcPr/>
          <w:bookmarkStart w:id="653" w:name="fig-nb-org"/>
          <w:p>
            <w:pPr>
              <w:jc w:val="center"/>
            </w:pPr>
            <w:pPr>
              <w:jc w:val="left"/>
              <w:spacing w:before="200"/>
              <w:pStyle w:val="ImageCaption"/>
            </w:pPr>
            <w:r>
              <w:t xml:space="preserve">Figure 9.1: Nombre d’organisations par ménage membre</w:t>
            </w:r>
          </w:p>
          <w:p>
            <w:pPr>
              <w:pStyle w:val="Compact"/>
              <w:jc w:val="center"/>
            </w:pPr>
            <w:r>
              <w:drawing>
                <wp:inline>
                  <wp:extent cx="5969000" cy="3730624"/>
                  <wp:effectExtent b="0" l="0" r="0" t="0"/>
                  <wp:docPr descr="" title="" id="651" name="Picture"/>
                  <a:graphic>
                    <a:graphicData uri="http://schemas.openxmlformats.org/drawingml/2006/picture">
                      <pic:pic>
                        <pic:nvPicPr>
                          <pic:cNvPr descr="09_insertion_projet_files/figure-docx/fig-nb-org-1.png" id="652" name="Picture"/>
                          <pic:cNvPicPr>
                            <a:picLocks noChangeArrowheads="1" noChangeAspect="1"/>
                          </pic:cNvPicPr>
                        </pic:nvPicPr>
                        <pic:blipFill>
                          <a:blip r:embed="rId650"/>
                          <a:stretch>
                            <a:fillRect/>
                          </a:stretch>
                        </pic:blipFill>
                        <pic:spPr bwMode="auto">
                          <a:xfrm>
                            <a:off x="0" y="0"/>
                            <a:ext cx="5969000" cy="3730624"/>
                          </a:xfrm>
                          <a:prstGeom prst="rect">
                            <a:avLst/>
                          </a:prstGeom>
                          <a:noFill/>
                          <a:ln w="9525">
                            <a:noFill/>
                            <a:headEnd/>
                            <a:tailEnd/>
                          </a:ln>
                        </pic:spPr>
                      </pic:pic>
                    </a:graphicData>
                  </a:graphic>
                </wp:inline>
              </w:drawing>
            </w:r>
          </w:p>
          <w:bookmarkEnd w:id="653"/>
        </w:tc>
      </w:tr>
    </w:tbl>
    <w:bookmarkEnd w:id="654"/>
    <w:bookmarkStart w:id="659" w:name="type-dorganisation"/>
    <w:p>
      <w:pPr>
        <w:pStyle w:val="Titre3"/>
      </w:pPr>
      <w:r>
        <w:t xml:space="preserve">9.1.3 Type d’organisation</w:t>
      </w:r>
    </w:p>
    <w:p>
      <w:pPr>
        <w:pStyle w:val="FirstParagraph"/>
      </w:pPr>
      <w:r>
        <w:t xml:space="preserve">Les associations villageoises d’épargne et de crédit (tontines,</w:t>
      </w:r>
      <w:r>
        <w:t xml:space="preserve"> </w:t>
      </w:r>
      <w:r>
        <w:rPr>
          <w:i/>
          <w:iCs/>
        </w:rPr>
        <w:t xml:space="preserve">voamamy</w:t>
      </w:r>
      <w:r>
        <w:t xml:space="preserve">) dominent à Marovoay, tandis que les associations religieuses prédominent à Alaotra. Les associations de femmes (liées au 8 mars) et les organisations de producteurs figurent également parmi les types les plus courants.</w:t>
      </w:r>
    </w:p>
    <w:tbl>
      <w:tblPr>
        <w:tblStyle w:val="Table"/>
        <w:tblW w:type="pct" w:w="5000"/>
        <w:tblLayout w:type="fixed"/>
        <w:tblLook w:firstRow="0" w:lastRow="0" w:firstColumn="0" w:lastColumn="0" w:noHBand="0" w:noVBand="0" w:val="0000"/>
      </w:tblPr>
      <w:tblGrid>
        <w:gridCol w:w="7920"/>
      </w:tblGrid>
      <w:tr>
        <w:tc>
          <w:tcPr/>
          <w:bookmarkStart w:id="658" w:name="fig-type-org"/>
          <w:p>
            <w:pPr>
              <w:jc w:val="center"/>
            </w:pPr>
            <w:pPr>
              <w:jc w:val="left"/>
              <w:spacing w:before="200"/>
              <w:pStyle w:val="ImageCaption"/>
            </w:pPr>
            <w:r>
              <w:t xml:space="preserve">Figure 9.2: Type d’organisation (toutes adhésions)</w:t>
            </w:r>
          </w:p>
          <w:p>
            <w:pPr>
              <w:pStyle w:val="Compact"/>
              <w:jc w:val="center"/>
            </w:pPr>
            <w:r>
              <w:drawing>
                <wp:inline>
                  <wp:extent cx="5969000" cy="5426363"/>
                  <wp:effectExtent b="0" l="0" r="0" t="0"/>
                  <wp:docPr descr="" title="" id="656" name="Picture"/>
                  <a:graphic>
                    <a:graphicData uri="http://schemas.openxmlformats.org/drawingml/2006/picture">
                      <pic:pic>
                        <pic:nvPicPr>
                          <pic:cNvPr descr="09_insertion_projet_files/figure-docx/fig-type-org-1.png" id="657" name="Picture"/>
                          <pic:cNvPicPr>
                            <a:picLocks noChangeArrowheads="1" noChangeAspect="1"/>
                          </pic:cNvPicPr>
                        </pic:nvPicPr>
                        <pic:blipFill>
                          <a:blip r:embed="rId655"/>
                          <a:stretch>
                            <a:fillRect/>
                          </a:stretch>
                        </pic:blipFill>
                        <pic:spPr bwMode="auto">
                          <a:xfrm>
                            <a:off x="0" y="0"/>
                            <a:ext cx="5969000" cy="5426363"/>
                          </a:xfrm>
                          <a:prstGeom prst="rect">
                            <a:avLst/>
                          </a:prstGeom>
                          <a:noFill/>
                          <a:ln w="9525">
                            <a:noFill/>
                            <a:headEnd/>
                            <a:tailEnd/>
                          </a:ln>
                        </pic:spPr>
                      </pic:pic>
                    </a:graphicData>
                  </a:graphic>
                </wp:inline>
              </w:drawing>
            </w:r>
          </w:p>
          <w:bookmarkEnd w:id="658"/>
        </w:tc>
      </w:tr>
    </w:tbl>
    <w:bookmarkEnd w:id="659"/>
    <w:bookmarkStart w:id="664" w:name="qui-dans-le-ménage-est-membre"/>
    <w:p>
      <w:pPr>
        <w:pStyle w:val="Titre3"/>
      </w:pPr>
      <w:r>
        <w:t xml:space="preserve">9.1.4 Qui dans le ménage est membre</w:t>
      </w:r>
    </w:p>
    <w:p>
      <w:pPr>
        <w:pStyle w:val="FirstParagraph"/>
      </w:pPr>
      <w:r>
        <w:t xml:space="preserve">Le chef de ménage et le ou la conjoint(e) sont les membres les plus fréquemment affiliés, de façon quasi-égale.</w:t>
      </w:r>
    </w:p>
    <w:tbl>
      <w:tblPr>
        <w:tblStyle w:val="Table"/>
        <w:tblW w:type="pct" w:w="5000"/>
        <w:tblLayout w:type="fixed"/>
        <w:tblLook w:firstRow="0" w:lastRow="0" w:firstColumn="0" w:lastColumn="0" w:noHBand="0" w:noVBand="0" w:val="0000"/>
      </w:tblPr>
      <w:tblGrid>
        <w:gridCol w:w="7920"/>
      </w:tblGrid>
      <w:tr>
        <w:tc>
          <w:tcPr/>
          <w:bookmarkStart w:id="663" w:name="fig-qui-membre"/>
          <w:p>
            <w:pPr>
              <w:jc w:val="center"/>
            </w:pPr>
            <w:pPr>
              <w:jc w:val="left"/>
              <w:spacing w:before="200"/>
              <w:pStyle w:val="ImageCaption"/>
            </w:pPr>
            <w:r>
              <w:t xml:space="preserve">Figure 9.3: Membre du ménage affilié à l’organisation</w:t>
            </w:r>
          </w:p>
          <w:p>
            <w:pPr>
              <w:pStyle w:val="Compact"/>
              <w:jc w:val="center"/>
            </w:pPr>
            <w:r>
              <w:drawing>
                <wp:inline>
                  <wp:extent cx="5969000" cy="4373121"/>
                  <wp:effectExtent b="0" l="0" r="0" t="0"/>
                  <wp:docPr descr="" title="" id="661" name="Picture"/>
                  <a:graphic>
                    <a:graphicData uri="http://schemas.openxmlformats.org/drawingml/2006/picture">
                      <pic:pic>
                        <pic:nvPicPr>
                          <pic:cNvPr descr="09_insertion_projet_files/figure-docx/fig-qui-membre-1.png" id="662" name="Picture"/>
                          <pic:cNvPicPr>
                            <a:picLocks noChangeArrowheads="1" noChangeAspect="1"/>
                          </pic:cNvPicPr>
                        </pic:nvPicPr>
                        <pic:blipFill>
                          <a:blip r:embed="rId660"/>
                          <a:stretch>
                            <a:fillRect/>
                          </a:stretch>
                        </pic:blipFill>
                        <pic:spPr bwMode="auto">
                          <a:xfrm>
                            <a:off x="0" y="0"/>
                            <a:ext cx="5969000" cy="4373121"/>
                          </a:xfrm>
                          <a:prstGeom prst="rect">
                            <a:avLst/>
                          </a:prstGeom>
                          <a:noFill/>
                          <a:ln w="9525">
                            <a:noFill/>
                            <a:headEnd/>
                            <a:tailEnd/>
                          </a:ln>
                        </pic:spPr>
                      </pic:pic>
                    </a:graphicData>
                  </a:graphic>
                </wp:inline>
              </w:drawing>
            </w:r>
          </w:p>
          <w:bookmarkEnd w:id="663"/>
        </w:tc>
      </w:tr>
    </w:tbl>
    <w:bookmarkEnd w:id="664"/>
    <w:bookmarkStart w:id="669" w:name="niveau-de-responsabilité"/>
    <w:p>
      <w:pPr>
        <w:pStyle w:val="Titre3"/>
      </w:pPr>
      <w:r>
        <w:t xml:space="preserve">9.1.5 Niveau de responsabilité</w:t>
      </w:r>
    </w:p>
    <w:p>
      <w:pPr>
        <w:pStyle w:val="FirstParagraph"/>
      </w:pPr>
      <w:r>
        <w:t xml:space="preserve">La grande majorité des membres se déclarent</w:t>
      </w:r>
      <w:r>
        <w:t xml:space="preserve"> </w:t>
      </w:r>
      <w:r>
        <w:rPr>
          <w:i/>
          <w:iCs/>
        </w:rPr>
        <w:t xml:space="preserve">membres occasionnels</w:t>
      </w:r>
      <w:r>
        <w:t xml:space="preserve">, et seule une minorité occupe un poste de responsable.</w:t>
      </w:r>
    </w:p>
    <w:tbl>
      <w:tblPr>
        <w:tblStyle w:val="Table"/>
        <w:tblW w:type="pct" w:w="5000"/>
        <w:tblLayout w:type="fixed"/>
        <w:tblLook w:firstRow="0" w:lastRow="0" w:firstColumn="0" w:lastColumn="0" w:noHBand="0" w:noVBand="0" w:val="0000"/>
      </w:tblPr>
      <w:tblGrid>
        <w:gridCol w:w="7920"/>
      </w:tblGrid>
      <w:tr>
        <w:tc>
          <w:tcPr/>
          <w:bookmarkStart w:id="668" w:name="fig-responsabilite"/>
          <w:p>
            <w:pPr>
              <w:jc w:val="center"/>
            </w:pPr>
            <w:pPr>
              <w:jc w:val="left"/>
              <w:spacing w:before="200"/>
              <w:pStyle w:val="ImageCaption"/>
            </w:pPr>
            <w:r>
              <w:t xml:space="preserve">Figure 9.4: Niveau de responsabilité dans l’organisation</w:t>
            </w:r>
          </w:p>
          <w:p>
            <w:pPr>
              <w:pStyle w:val="Compact"/>
              <w:jc w:val="center"/>
            </w:pPr>
            <w:r>
              <w:drawing>
                <wp:inline>
                  <wp:extent cx="5969000" cy="3316111"/>
                  <wp:effectExtent b="0" l="0" r="0" t="0"/>
                  <wp:docPr descr="" title="" id="666" name="Picture"/>
                  <a:graphic>
                    <a:graphicData uri="http://schemas.openxmlformats.org/drawingml/2006/picture">
                      <pic:pic>
                        <pic:nvPicPr>
                          <pic:cNvPr descr="09_insertion_projet_files/figure-docx/fig-responsabilite-1.png" id="667" name="Picture"/>
                          <pic:cNvPicPr>
                            <a:picLocks noChangeArrowheads="1" noChangeAspect="1"/>
                          </pic:cNvPicPr>
                        </pic:nvPicPr>
                        <pic:blipFill>
                          <a:blip r:embed="rId665"/>
                          <a:stretch>
                            <a:fillRect/>
                          </a:stretch>
                        </pic:blipFill>
                        <pic:spPr bwMode="auto">
                          <a:xfrm>
                            <a:off x="0" y="0"/>
                            <a:ext cx="5969000" cy="3316111"/>
                          </a:xfrm>
                          <a:prstGeom prst="rect">
                            <a:avLst/>
                          </a:prstGeom>
                          <a:noFill/>
                          <a:ln w="9525">
                            <a:noFill/>
                            <a:headEnd/>
                            <a:tailEnd/>
                          </a:ln>
                        </pic:spPr>
                      </pic:pic>
                    </a:graphicData>
                  </a:graphic>
                </wp:inline>
              </w:drawing>
            </w:r>
          </w:p>
          <w:bookmarkEnd w:id="668"/>
        </w:tc>
      </w:tr>
    </w:tbl>
    <w:bookmarkEnd w:id="669"/>
    <w:bookmarkEnd w:id="670"/>
    <w:bookmarkStart w:id="686" w:name="sec-projets"/>
    <w:p>
      <w:pPr>
        <w:pStyle w:val="Titre2"/>
      </w:pPr>
      <w:r>
        <w:t xml:space="preserve">9.2 Accès des ménages aux projets</w:t>
      </w:r>
    </w:p>
    <w:p>
      <w:pPr>
        <w:pStyle w:val="FirstParagraph"/>
      </w:pPr>
      <w:r>
        <w:t xml:space="preserve">Le questionnaire demande aux ménages s’ils ont bénéficié de projets ou de formations dans huit domaines. La variable</w:t>
      </w:r>
      <w:r>
        <w:t xml:space="preserve"> </w:t>
      </w:r>
      <w:r>
        <w:rPr>
          <w:rStyle w:val="VerbatimChar"/>
        </w:rPr>
        <w:t xml:space="preserve">pro1</w:t>
      </w:r>
      <w:r>
        <w:t xml:space="preserve"> </w:t>
      </w:r>
      <w:r>
        <w:t xml:space="preserve">(dans</w:t>
      </w:r>
      <w:r>
        <w:t xml:space="preserve"> </w:t>
      </w:r>
      <w:r>
        <w:rPr>
          <w:rStyle w:val="VerbatimChar"/>
        </w:rPr>
        <w:t xml:space="preserve">res_respg0</w:t>
      </w:r>
      <w:r>
        <w:t xml:space="preserve">) indique si au moins un membre du ménage a bénéficié d’un projet, tandis que</w:t>
      </w:r>
      <w:r>
        <w:t xml:space="preserve"> </w:t>
      </w:r>
      <w:r>
        <w:rPr>
          <w:rStyle w:val="VerbatimChar"/>
        </w:rPr>
        <w:t xml:space="preserve">res_pro</w:t>
      </w:r>
      <w:r>
        <w:t xml:space="preserve"> </w:t>
      </w:r>
      <w:r>
        <w:t xml:space="preserve">détaille les bénéficiaires par type de projet et leur source de financement.</w:t>
      </w:r>
    </w:p>
    <w:bookmarkStart w:id="674" w:name="bénéficiaires-de-projets"/>
    <w:p>
      <w:pPr>
        <w:pStyle w:val="Titre3"/>
      </w:pPr>
      <w:r>
        <w:t xml:space="preserve">9.2.1 Bénéficiaires de projets</w:t>
      </w:r>
    </w:p>
    <w:p>
      <w:pPr>
        <w:pStyle w:val="FirstParagraph"/>
      </w:pPr>
      <w:r>
        <w:t xml:space="preserve">L’accès aux projets de développement reste inégal entre les deux sites.</w:t>
      </w:r>
    </w:p>
    <w:p>
      <w:pPr>
        <w:pStyle w:val="Corpsdetexte"/>
      </w:pPr>
      <w:r>
        <w:t xml:space="preserve">A Marovoay, 25.8 % des ménages déclarent avoir bénéficié d’au moins un projet ou d’une formation.</w:t>
      </w:r>
    </w:p>
    <w:p>
      <w:pPr>
        <w:pStyle w:val="CaptionedFigure"/>
      </w:pPr>
      <w:r>
        <w:drawing>
          <wp:inline>
            <wp:extent cx="4620126" cy="3696101"/>
            <wp:effectExtent b="0" l="0" r="0" t="0"/>
            <wp:docPr descr="Ménages bénéficiaires de projets ou formations" title="" id="672" name="Picture"/>
            <a:graphic>
              <a:graphicData uri="http://schemas.openxmlformats.org/drawingml/2006/picture">
                <pic:pic>
                  <pic:nvPicPr>
                    <pic:cNvPr descr="09_insertion_projet_files/figure-docx/fig_pro1-1.png" id="673" name="Picture"/>
                    <pic:cNvPicPr>
                      <a:picLocks noChangeArrowheads="1" noChangeAspect="1"/>
                    </pic:cNvPicPr>
                  </pic:nvPicPr>
                  <pic:blipFill>
                    <a:blip r:embed="rId671"/>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Ménages bénéficiaires de projets ou formations</w:t>
      </w:r>
    </w:p>
    <w:bookmarkEnd w:id="674"/>
    <w:bookmarkStart w:id="679" w:name="taux-de-bénéficiaires-par-type-de-projet"/>
    <w:p>
      <w:pPr>
        <w:pStyle w:val="Titre3"/>
      </w:pPr>
      <w:r>
        <w:t xml:space="preserve">9.2.2 Taux de bénéficiaires par type de projet</w:t>
      </w:r>
    </w:p>
    <w:p>
      <w:pPr>
        <w:pStyle w:val="FirstParagraph"/>
      </w:pPr>
      <w:r>
        <w:t xml:space="preserve">L’éducation et la santé, la nutrition et l’agriculture sont les domaines pour lesquels les ménages bénéficient le plus de projets. Le tourisme reste totalement absent des deux observatoires.</w:t>
      </w:r>
    </w:p>
    <w:tbl>
      <w:tblPr>
        <w:tblStyle w:val="Table"/>
        <w:tblW w:type="pct" w:w="5000"/>
        <w:tblLayout w:type="fixed"/>
        <w:tblLook w:firstRow="0" w:lastRow="0" w:firstColumn="0" w:lastColumn="0" w:noHBand="0" w:noVBand="0" w:val="0000"/>
      </w:tblPr>
      <w:tblGrid>
        <w:gridCol w:w="7920"/>
      </w:tblGrid>
      <w:tr>
        <w:tc>
          <w:tcPr/>
          <w:bookmarkStart w:id="678" w:name="fig-benef-type"/>
          <w:p>
            <w:pPr>
              <w:jc w:val="center"/>
            </w:pPr>
            <w:pPr>
              <w:jc w:val="left"/>
              <w:spacing w:before="200"/>
              <w:pStyle w:val="ImageCaption"/>
            </w:pPr>
            <w:r>
              <w:t xml:space="preserve">Figure 9.5: Taux de ménages bénéficiaires par type de projet</w:t>
            </w:r>
          </w:p>
          <w:p>
            <w:pPr>
              <w:pStyle w:val="Compact"/>
              <w:jc w:val="center"/>
            </w:pPr>
            <w:r>
              <w:drawing>
                <wp:inline>
                  <wp:extent cx="5969000" cy="5969000"/>
                  <wp:effectExtent b="0" l="0" r="0" t="0"/>
                  <wp:docPr descr="" title="" id="676" name="Picture"/>
                  <a:graphic>
                    <a:graphicData uri="http://schemas.openxmlformats.org/drawingml/2006/picture">
                      <pic:pic>
                        <pic:nvPicPr>
                          <pic:cNvPr descr="09_insertion_projet_files/figure-docx/fig-benef-type-1.png" id="677" name="Picture"/>
                          <pic:cNvPicPr>
                            <a:picLocks noChangeArrowheads="1" noChangeAspect="1"/>
                          </pic:cNvPicPr>
                        </pic:nvPicPr>
                        <pic:blipFill>
                          <a:blip r:embed="rId675"/>
                          <a:stretch>
                            <a:fillRect/>
                          </a:stretch>
                        </pic:blipFill>
                        <pic:spPr bwMode="auto">
                          <a:xfrm>
                            <a:off x="0" y="0"/>
                            <a:ext cx="5969000" cy="5969000"/>
                          </a:xfrm>
                          <a:prstGeom prst="rect">
                            <a:avLst/>
                          </a:prstGeom>
                          <a:noFill/>
                          <a:ln w="9525">
                            <a:noFill/>
                            <a:headEnd/>
                            <a:tailEnd/>
                          </a:ln>
                        </pic:spPr>
                      </pic:pic>
                    </a:graphicData>
                  </a:graphic>
                </wp:inline>
              </w:drawing>
            </w:r>
          </w:p>
          <w:bookmarkEnd w:id="678"/>
        </w:tc>
      </w:tr>
    </w:tbl>
    <w:bookmarkEnd w:id="679"/>
    <w:bookmarkStart w:id="685" w:name="source-des-projets"/>
    <w:p>
      <w:pPr>
        <w:pStyle w:val="Titre3"/>
      </w:pPr>
      <w:r>
        <w:t xml:space="preserve">9.2.3 Source des projets</w:t>
      </w:r>
    </w:p>
    <w:p>
      <w:pPr>
        <w:pStyle w:val="FirstParagraph"/>
      </w:pPr>
      <w:r>
        <w:t xml:space="preserve">Pour les ménages bénéficiaires, le financement provient principalement de l’État et des ONG/projets. L’Église et les autres sources restent marginales.</w:t>
      </w:r>
    </w:p>
    <w:tbl>
      <w:tblPr>
        <w:tblStyle w:val="Table"/>
        <w:tblW w:type="pct" w:w="5000"/>
        <w:tblLayout w:type="fixed"/>
        <w:tblLook w:firstRow="0" w:lastRow="0" w:firstColumn="0" w:lastColumn="0" w:noHBand="0" w:noVBand="0" w:val="0000"/>
      </w:tblPr>
      <w:tblGrid>
        <w:gridCol w:w="7920"/>
      </w:tblGrid>
      <w:tr>
        <w:tc>
          <w:tcPr/>
          <w:bookmarkStart w:id="683" w:name="fig-source-projet"/>
          <w:p>
            <w:pPr>
              <w:jc w:val="center"/>
            </w:pPr>
            <w:pPr>
              <w:jc w:val="left"/>
              <w:spacing w:before="200"/>
              <w:pStyle w:val="ImageCaption"/>
            </w:pPr>
            <w:r>
              <w:t xml:space="preserve">Figure 9.6: Source des projets pour les ménages bénéficiaires</w:t>
            </w:r>
          </w:p>
          <w:p>
            <w:pPr>
              <w:pStyle w:val="Compact"/>
              <w:jc w:val="center"/>
            </w:pPr>
            <w:r>
              <w:drawing>
                <wp:inline>
                  <wp:extent cx="5969000" cy="3581400"/>
                  <wp:effectExtent b="0" l="0" r="0" t="0"/>
                  <wp:docPr descr="" title="" id="681" name="Picture"/>
                  <a:graphic>
                    <a:graphicData uri="http://schemas.openxmlformats.org/drawingml/2006/picture">
                      <pic:pic>
                        <pic:nvPicPr>
                          <pic:cNvPr descr="09_insertion_projet_files/figure-docx/fig-source-projet-1.png" id="682" name="Picture"/>
                          <pic:cNvPicPr>
                            <a:picLocks noChangeArrowheads="1" noChangeAspect="1"/>
                          </pic:cNvPicPr>
                        </pic:nvPicPr>
                        <pic:blipFill>
                          <a:blip r:embed="rId680"/>
                          <a:stretch>
                            <a:fillRect/>
                          </a:stretch>
                        </pic:blipFill>
                        <pic:spPr bwMode="auto">
                          <a:xfrm>
                            <a:off x="0" y="0"/>
                            <a:ext cx="5969000" cy="3581400"/>
                          </a:xfrm>
                          <a:prstGeom prst="rect">
                            <a:avLst/>
                          </a:prstGeom>
                          <a:noFill/>
                          <a:ln w="9525">
                            <a:noFill/>
                            <a:headEnd/>
                            <a:tailEnd/>
                          </a:ln>
                        </pic:spPr>
                      </pic:pic>
                    </a:graphicData>
                  </a:graphic>
                </wp:inline>
              </w:drawing>
            </w:r>
          </w:p>
          <w:bookmarkEnd w:id="683"/>
        </w:tc>
      </w:tr>
    </w:tbl>
    <w:tbl>
      <w:tblPr>
        <w:tblStyle w:val="Table"/>
        <w:tblW w:type="pct" w:w="5000"/>
        <w:tblLayout w:type="fixed"/>
        <w:tblLook w:firstRow="0" w:lastRow="0" w:firstColumn="0" w:lastColumn="0" w:noHBand="0" w:noVBand="0" w:val="0000"/>
      </w:tblPr>
      <w:tblGrid>
        <w:gridCol w:w="7920"/>
      </w:tblGrid>
      <w:tr>
        <w:tc>
          <w:tcPr/>
          <w:bookmarkStart w:id="684" w:name="tbl-source-global"/>
          <w:p>
            <w:pPr>
              <w:jc w:val="center"/>
            </w:pPr>
            <w:pPr>
              <w:jc w:val="left"/>
              <w:spacing w:before="200"/>
              <w:pStyle w:val="ImageCaption"/>
            </w:pPr>
            <w:r>
              <w:t xml:space="preserve">Table 9.2: Source des projets (tous types confondus)</w:t>
            </w:r>
          </w:p>
          <w:bookmarkEnd w:id="684"/>
        </w:tc>
      </w:tr>
    </w:tbl>
    <w:bookmarkEnd w:id="685"/>
    <w:bookmarkEnd w:id="686"/>
    <w:bookmarkStart w:id="691" w:name="sec-croisement"/>
    <w:p>
      <w:pPr>
        <w:pStyle w:val="Titre2"/>
      </w:pPr>
      <w:r>
        <w:t xml:space="preserve">9.3 Croisement insertion sociale et accès aux projets</w:t>
      </w:r>
    </w:p>
    <w:p>
      <w:pPr>
        <w:pStyle w:val="FirstParagraph"/>
      </w:pPr>
      <w:r>
        <w:t xml:space="preserve">Les ménages membres d’une organisation sont-ils davantage bénéficiaires de projets ? Ce croisement permet de tester l’hypothèse selon laquelle le capital social facilite l’accès aux interventions de développement.</w:t>
      </w:r>
    </w:p>
    <w:p>
      <w:pPr>
        <w:pStyle w:val="Corpsdetexte"/>
      </w:pPr>
      <w:r>
        <w:t xml:space="preserve">A Marovoay, 55.3 % des ménages sont membres d’une organisation.</w:t>
      </w:r>
    </w:p>
    <w:tbl>
      <w:tblPr>
        <w:tblStyle w:val="Table"/>
        <w:tblW w:type="pct" w:w="5000"/>
        <w:tblLayout w:type="fixed"/>
        <w:tblLook w:firstRow="0" w:lastRow="0" w:firstColumn="0" w:lastColumn="0" w:noHBand="0" w:noVBand="0" w:val="0000"/>
      </w:tblPr>
      <w:tblGrid>
        <w:gridCol w:w="7920"/>
      </w:tblGrid>
      <w:tr>
        <w:tc>
          <w:tcPr/>
          <w:bookmarkStart w:id="687" w:name="tbl-croisement"/>
          <w:p>
            <w:pPr>
              <w:jc w:val="center"/>
            </w:pPr>
            <w:pPr>
              <w:jc w:val="left"/>
              <w:spacing w:before="200"/>
              <w:pStyle w:val="ImageCaption"/>
            </w:pPr>
            <w:r>
              <w:t xml:space="preserve">Table 9.3: Accès aux projets selon l’appartenance à une organisation</w:t>
            </w:r>
          </w:p>
          <w:bookmarkEnd w:id="687"/>
        </w:tc>
      </w:tr>
    </w:tbl>
    <w:p>
      <w:pPr>
        <w:pStyle w:val="CaptionedFigure"/>
      </w:pPr>
      <w:r>
        <w:drawing>
          <wp:inline>
            <wp:extent cx="4620126" cy="3696101"/>
            <wp:effectExtent b="0" l="0" r="0" t="0"/>
            <wp:docPr descr="Accès aux projets selon l’appartenance à une organisation" title="" id="689" name="Picture"/>
            <a:graphic>
              <a:graphicData uri="http://schemas.openxmlformats.org/drawingml/2006/picture">
                <pic:pic>
                  <pic:nvPicPr>
                    <pic:cNvPr descr="09_insertion_projet_files/figure-docx/fig_croisement-1.png" id="690" name="Picture"/>
                    <pic:cNvPicPr>
                      <a:picLocks noChangeArrowheads="1" noChangeAspect="1"/>
                    </pic:cNvPicPr>
                  </pic:nvPicPr>
                  <pic:blipFill>
                    <a:blip r:embed="rId688"/>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Accès aux projets selon l’appartenance à une organisation</w:t>
      </w:r>
    </w:p>
    <w:bookmarkEnd w:id="691"/>
    <w:bookmarkEnd w:id="692"/>
    <w:bookmarkStart w:id="712" w:name="évaluation-de-la-qualité-de-lenquête"/>
    <w:p>
      <w:pPr>
        <w:pStyle w:val="Titre1"/>
      </w:pPr>
      <w:r>
        <w:t xml:space="preserve">10. Évaluation de la qualité de l’enquête</w:t>
      </w:r>
    </w:p>
    <w:p>
      <w:pPr>
        <w:pStyle w:val="FirstParagraph"/>
      </w:pPr>
      <w:r>
        <w:t xml:space="preserve">Cette partie rassemble les indicateurs de qualité de la collecte. Les trois variables présentées ci-dessous sont</w:t>
      </w:r>
      <w:r>
        <w:t xml:space="preserve"> </w:t>
      </w:r>
      <w:r>
        <w:rPr>
          <w:b/>
          <w:bCs/>
        </w:rPr>
        <w:t xml:space="preserve">toutes renseignées par l’enquêteur</w:t>
      </w:r>
      <w:r>
        <w:t xml:space="preserve"> </w:t>
      </w:r>
      <w:r>
        <w:t xml:space="preserve">(et non par le ménage enquêté) :</w:t>
      </w:r>
    </w:p>
    <w:p>
      <w:pPr>
        <w:pStyle w:val="Compact"/>
        <w:numPr>
          <w:ilvl w:val="0"/>
          <w:numId w:val="1004"/>
        </w:numPr>
      </w:pPr>
      <w:r>
        <w:rPr>
          <w:rStyle w:val="VerbatimChar"/>
        </w:rPr>
        <w:t xml:space="preserve">j11</w:t>
      </w:r>
      <w:r>
        <w:t xml:space="preserve"> </w:t>
      </w:r>
      <w:r>
        <w:t xml:space="preserve">—</w:t>
      </w:r>
      <w:r>
        <w:t xml:space="preserve"> </w:t>
      </w:r>
      <w:r>
        <w:rPr>
          <w:i/>
          <w:iCs/>
        </w:rPr>
        <w:t xml:space="preserve">« Qualité de l’enquête »</w:t>
      </w:r>
      <w:r>
        <w:t xml:space="preserve"> </w:t>
      </w:r>
      <w:r>
        <w:t xml:space="preserve">: appréciation globale de l’entretien, renseignée sur la page de couverture du questionnaire (fichier</w:t>
      </w:r>
      <w:r>
        <w:t xml:space="preserve"> </w:t>
      </w:r>
      <w:r>
        <w:rPr>
          <w:rStyle w:val="VerbatimChar"/>
        </w:rPr>
        <w:t xml:space="preserve">res_deb</w:t>
      </w:r>
      <w:r>
        <w:t xml:space="preserve">).</w:t>
      </w:r>
    </w:p>
    <w:p>
      <w:pPr>
        <w:pStyle w:val="Compact"/>
        <w:numPr>
          <w:ilvl w:val="0"/>
          <w:numId w:val="1004"/>
        </w:numPr>
      </w:pPr>
      <w:r>
        <w:rPr>
          <w:rStyle w:val="VerbatimChar"/>
        </w:rPr>
        <w:t xml:space="preserve">qual1aa</w:t>
      </w:r>
      <w:r>
        <w:t xml:space="preserve"> </w:t>
      </w:r>
      <w:r>
        <w:t xml:space="preserve">—</w:t>
      </w:r>
      <w:r>
        <w:t xml:space="preserve"> </w:t>
      </w:r>
      <w:r>
        <w:rPr>
          <w:i/>
          <w:iCs/>
        </w:rPr>
        <w:t xml:space="preserve">« Qualité de la réponse en générale »</w:t>
      </w:r>
      <w:r>
        <w:t xml:space="preserve"> </w:t>
      </w:r>
      <w:r>
        <w:t xml:space="preserve">: évaluation de la qualité des réponses obtenues, renseignée dans le module de remarques en fin de questionnaire (fichier</w:t>
      </w:r>
      <w:r>
        <w:t xml:space="preserve"> </w:t>
      </w:r>
      <w:r>
        <w:rPr>
          <w:rStyle w:val="VerbatimChar"/>
        </w:rPr>
        <w:t xml:space="preserve">res_remq</w:t>
      </w:r>
      <w:r>
        <w:t xml:space="preserve">).</w:t>
      </w:r>
    </w:p>
    <w:p>
      <w:pPr>
        <w:pStyle w:val="Compact"/>
        <w:numPr>
          <w:ilvl w:val="0"/>
          <w:numId w:val="1004"/>
        </w:numPr>
      </w:pPr>
      <w:r>
        <w:rPr>
          <w:rStyle w:val="VerbatimChar"/>
        </w:rPr>
        <w:t xml:space="preserve">qual2aa</w:t>
      </w:r>
      <w:r>
        <w:t xml:space="preserve"> </w:t>
      </w:r>
      <w:r>
        <w:t xml:space="preserve">—</w:t>
      </w:r>
      <w:r>
        <w:t xml:space="preserve"> </w:t>
      </w:r>
      <w:r>
        <w:rPr>
          <w:i/>
          <w:iCs/>
        </w:rPr>
        <w:t xml:space="preserve">« Réaction du répondant »</w:t>
      </w:r>
      <w:r>
        <w:t xml:space="preserve"> </w:t>
      </w:r>
      <w:r>
        <w:t xml:space="preserve">: appréciation de l’attitude du répondant pendant l’entretien, renseignée dans le même module de fin de questionnaire.</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93" name="Picture"/>
                  <a:graphic>
                    <a:graphicData uri="http://schemas.openxmlformats.org/drawingml/2006/picture">
                      <pic:pic>
                        <pic:nvPicPr>
                          <pic:cNvPr descr="C:\Users\fbede\AppData\Local\Programs\Quarto\share\formats\docx\warning.png" id="694"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699" w:name="Xa4db8dd5ff569f230bca5343853834cca9e2941"/>
    <w:p>
      <w:pPr>
        <w:pStyle w:val="Titre2"/>
      </w:pPr>
      <w:r>
        <w:t xml:space="preserve">10.1 Qualité de l’enquête (évaluation par l’enquêteur, page de couverture)</w:t>
      </w:r>
    </w:p>
    <w:p>
      <w:pPr>
        <w:pStyle w:val="FirstParagraph"/>
      </w:pPr>
      <w:r>
        <w:t xml:space="preserve">La variable</w:t>
      </w:r>
      <w:r>
        <w:t xml:space="preserve"> </w:t>
      </w:r>
      <w:r>
        <w:rPr>
          <w:rStyle w:val="VerbatimChar"/>
        </w:rPr>
        <w:t xml:space="preserve">j11</w:t>
      </w:r>
      <w:r>
        <w:t xml:space="preserve"> </w:t>
      </w:r>
      <w:r>
        <w:t xml:space="preserve">—</w:t>
      </w:r>
      <w:r>
        <w:t xml:space="preserve"> </w:t>
      </w:r>
      <w:r>
        <w:rPr>
          <w:i/>
          <w:iCs/>
        </w:rPr>
        <w:t xml:space="preserve">« Qualité de l’enquête »</w:t>
      </w:r>
      <w:r>
        <w:t xml:space="preserve"> </w:t>
      </w:r>
      <w:r>
        <w:t xml:space="preserve">— est renseignée par l’enquêteur sur la page de couverture du questionnaire. Les modalités sont : 1 = bonne, 2 = moyenne, 3 = mauvaise. La grande majorité des entretiens sont jugés de bonne qualité ou de qualité moyenne (</w:t>
      </w:r>
      <w:hyperlink w:anchor="fig-qualite">
        <w:r>
          <w:rPr>
            <w:rStyle w:val="Lienhypertexte"/>
          </w:rPr>
          <w:t xml:space="preserve">Figure 10.1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98" w:name="fig-qualite"/>
          <w:p>
            <w:pPr>
              <w:jc w:val="center"/>
            </w:pPr>
            <w:pPr>
              <w:jc w:val="left"/>
              <w:spacing w:before="200"/>
              <w:pStyle w:val="ImageCaption"/>
            </w:pPr>
            <w:r>
              <w:t xml:space="preserve">Figure 10.1: Qualité de l’enquête selon l’enquêteur (j11, page de couverture)</w:t>
            </w:r>
          </w:p>
          <w:p>
            <w:pPr>
              <w:pStyle w:val="Compact"/>
              <w:jc w:val="center"/>
            </w:pPr>
            <w:r>
              <w:drawing>
                <wp:inline>
                  <wp:extent cx="5969000" cy="2984500"/>
                  <wp:effectExtent b="0" l="0" r="0" t="0"/>
                  <wp:docPr descr="" title="" id="696" name="Picture"/>
                  <a:graphic>
                    <a:graphicData uri="http://schemas.openxmlformats.org/drawingml/2006/picture">
                      <pic:pic>
                        <pic:nvPicPr>
                          <pic:cNvPr descr="10_enquete_qualite_files/figure-docx/fig-qualite-1.png" id="697" name="Picture"/>
                          <pic:cNvPicPr>
                            <a:picLocks noChangeArrowheads="1" noChangeAspect="1"/>
                          </pic:cNvPicPr>
                        </pic:nvPicPr>
                        <pic:blipFill>
                          <a:blip r:embed="rId695"/>
                          <a:stretch>
                            <a:fillRect/>
                          </a:stretch>
                        </pic:blipFill>
                        <pic:spPr bwMode="auto">
                          <a:xfrm>
                            <a:off x="0" y="0"/>
                            <a:ext cx="5969000" cy="2984500"/>
                          </a:xfrm>
                          <a:prstGeom prst="rect">
                            <a:avLst/>
                          </a:prstGeom>
                          <a:noFill/>
                          <a:ln w="9525">
                            <a:noFill/>
                            <a:headEnd/>
                            <a:tailEnd/>
                          </a:ln>
                        </pic:spPr>
                      </pic:pic>
                    </a:graphicData>
                  </a:graphic>
                </wp:inline>
              </w:drawing>
            </w:r>
          </w:p>
          <w:bookmarkEnd w:id="698"/>
        </w:tc>
      </w:tr>
    </w:tbl>
    <w:bookmarkEnd w:id="699"/>
    <w:bookmarkStart w:id="701" w:name="répondant"/>
    <w:p>
      <w:pPr>
        <w:pStyle w:val="Titre2"/>
      </w:pPr>
      <w:r>
        <w:t xml:space="preserve">10.2 Répondant</w:t>
      </w:r>
    </w:p>
    <w:p>
      <w:pPr>
        <w:pStyle w:val="FirstParagraph"/>
      </w:pPr>
      <w:r>
        <w:t xml:space="preserve">Dans la plupart des cas, le répondant est le chef de ménage lui-même ou son conjoint. Quelques entretiens ont été réalisés avec un autre membre du ménage (</w:t>
      </w:r>
      <w:hyperlink w:anchor="tbl-repondant">
        <w:r>
          <w:rPr>
            <w:rStyle w:val="Lienhypertexte"/>
          </w:rPr>
          <w:t xml:space="preserve">Table 10.1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700" w:name="tbl-repondant"/>
          <w:p>
            <w:pPr>
              <w:jc w:val="center"/>
            </w:pPr>
            <w:pPr>
              <w:jc w:val="left"/>
              <w:spacing w:before="200"/>
              <w:pStyle w:val="ImageCaption"/>
            </w:pPr>
            <w:r>
              <w:t xml:space="preserve">Table 10.1: Qualité du répondant par observatoire</w:t>
            </w:r>
          </w:p>
          <w:bookmarkEnd w:id="700"/>
        </w:tc>
      </w:tr>
    </w:tbl>
    <w:bookmarkEnd w:id="701"/>
    <w:bookmarkStart w:id="706" w:name="X2101bde4d2f525baec1852bd3c950f476bfe63c"/>
    <w:p>
      <w:pPr>
        <w:pStyle w:val="Titre2"/>
      </w:pPr>
      <w:r>
        <w:t xml:space="preserve">10.3 Qualité de la réponse (évaluation par l’enquêteur, fin de questionnaire)</w:t>
      </w:r>
    </w:p>
    <w:p>
      <w:pPr>
        <w:pStyle w:val="FirstParagraph"/>
      </w:pPr>
      <w:r>
        <w:t xml:space="preserve">La variable</w:t>
      </w:r>
      <w:r>
        <w:t xml:space="preserve"> </w:t>
      </w:r>
      <w:r>
        <w:rPr>
          <w:rStyle w:val="VerbatimChar"/>
        </w:rPr>
        <w:t xml:space="preserve">qual1aa</w:t>
      </w:r>
      <w:r>
        <w:t xml:space="preserve"> </w:t>
      </w:r>
      <w:r>
        <w:t xml:space="preserve">—</w:t>
      </w:r>
      <w:r>
        <w:t xml:space="preserve"> </w:t>
      </w:r>
      <w:r>
        <w:rPr>
          <w:i/>
          <w:iCs/>
        </w:rPr>
        <w:t xml:space="preserve">« Qualité de la réponse en générale »</w:t>
      </w:r>
      <w:r>
        <w:t xml:space="preserve"> </w:t>
      </w:r>
      <w:r>
        <w:t xml:space="preserve">— est renseignée par l’enquêteur dans le module de remarques en fin de questionnaire. Les modalités prévues sont :</w:t>
      </w:r>
      <w:r>
        <w:t xml:space="preserve"> </w:t>
      </w:r>
      <w:r>
        <w:rPr>
          <w:b/>
          <w:bCs/>
        </w:rPr>
        <w:t xml:space="preserve">1 = bonne, 2 = mauvaise</w:t>
      </w:r>
      <w:r>
        <w:t xml:space="preserve">. La</w:t>
      </w:r>
      <w:r>
        <w:t xml:space="preserve"> </w:t>
      </w:r>
      <w:hyperlink w:anchor="fig-qual-reponse">
        <w:r>
          <w:rPr>
            <w:rStyle w:val="Lienhypertexte"/>
          </w:rPr>
          <w:t xml:space="preserve">Figure 10.2</w:t>
        </w:r>
      </w:hyperlink>
      <w:r>
        <w:t xml:space="preserve"> </w:t>
      </w:r>
      <w:r>
        <w:t xml:space="preserve">présente la répartition par observatoire (les codes aberrants sont exclus, voir l’encadré ci-dessous).</w:t>
      </w:r>
    </w:p>
    <w:tbl>
      <w:tblPr>
        <w:tblStyle w:val="Table"/>
        <w:tblW w:type="pct" w:w="5000"/>
        <w:tblLayout w:type="fixed"/>
        <w:tblLook w:firstRow="0" w:lastRow="0" w:firstColumn="0" w:lastColumn="0" w:noHBand="0" w:noVBand="0" w:val="0000"/>
      </w:tblPr>
      <w:tblGrid>
        <w:gridCol w:w="7920"/>
      </w:tblGrid>
      <w:tr>
        <w:tc>
          <w:tcPr/>
          <w:bookmarkStart w:id="705" w:name="fig-qual-reponse"/>
          <w:p>
            <w:pPr>
              <w:jc w:val="center"/>
            </w:pPr>
            <w:pPr>
              <w:jc w:val="left"/>
              <w:spacing w:before="200"/>
              <w:pStyle w:val="ImageCaption"/>
            </w:pPr>
            <w:r>
              <w:t xml:space="preserve">Figure 10.2: Qualité de la réponse selon l’enquêteur (qual1aa, fin de questionnaire)</w:t>
            </w:r>
          </w:p>
          <w:p>
            <w:pPr>
              <w:pStyle w:val="Compact"/>
              <w:jc w:val="center"/>
            </w:pPr>
            <w:r>
              <w:drawing>
                <wp:inline>
                  <wp:extent cx="5969000" cy="2984500"/>
                  <wp:effectExtent b="0" l="0" r="0" t="0"/>
                  <wp:docPr descr="" title="" id="703" name="Picture"/>
                  <a:graphic>
                    <a:graphicData uri="http://schemas.openxmlformats.org/drawingml/2006/picture">
                      <pic:pic>
                        <pic:nvPicPr>
                          <pic:cNvPr descr="10_enquete_qualite_files/figure-docx/fig-qual-reponse-1.png" id="704" name="Picture"/>
                          <pic:cNvPicPr>
                            <a:picLocks noChangeArrowheads="1" noChangeAspect="1"/>
                          </pic:cNvPicPr>
                        </pic:nvPicPr>
                        <pic:blipFill>
                          <a:blip r:embed="rId702"/>
                          <a:stretch>
                            <a:fillRect/>
                          </a:stretch>
                        </pic:blipFill>
                        <pic:spPr bwMode="auto">
                          <a:xfrm>
                            <a:off x="0" y="0"/>
                            <a:ext cx="5969000" cy="2984500"/>
                          </a:xfrm>
                          <a:prstGeom prst="rect">
                            <a:avLst/>
                          </a:prstGeom>
                          <a:noFill/>
                          <a:ln w="9525">
                            <a:noFill/>
                            <a:headEnd/>
                            <a:tailEnd/>
                          </a:ln>
                        </pic:spPr>
                      </pic:pic>
                    </a:graphicData>
                  </a:graphic>
                </wp:inline>
              </w:drawing>
            </w:r>
          </w:p>
          <w:bookmarkEnd w:id="705"/>
        </w:tc>
      </w:tr>
    </w:tbl>
    <w:bookmarkEnd w:id="706"/>
    <w:bookmarkStart w:id="711" w:name="X9f66b319a86da89209272021c54dcd93697770e"/>
    <w:p>
      <w:pPr>
        <w:pStyle w:val="Titre2"/>
      </w:pPr>
      <w:r>
        <w:t xml:space="preserve">10.4 Réaction du répondant (évaluation par l’enquêteur, fin de questionnaire)</w:t>
      </w:r>
    </w:p>
    <w:p>
      <w:pPr>
        <w:pStyle w:val="FirstParagraph"/>
      </w:pPr>
      <w:r>
        <w:t xml:space="preserve">La variable</w:t>
      </w:r>
      <w:r>
        <w:t xml:space="preserve"> </w:t>
      </w:r>
      <w:r>
        <w:rPr>
          <w:rStyle w:val="VerbatimChar"/>
        </w:rPr>
        <w:t xml:space="preserve">qual2aa</w:t>
      </w:r>
      <w:r>
        <w:t xml:space="preserve"> </w:t>
      </w:r>
      <w:r>
        <w:t xml:space="preserve">—</w:t>
      </w:r>
      <w:r>
        <w:t xml:space="preserve"> </w:t>
      </w:r>
      <w:r>
        <w:rPr>
          <w:i/>
          <w:iCs/>
        </w:rPr>
        <w:t xml:space="preserve">« Réaction du répondant »</w:t>
      </w:r>
      <w:r>
        <w:t xml:space="preserve"> </w:t>
      </w:r>
      <w:r>
        <w:t xml:space="preserve">— est renseignée par l’enquêteur dans le même module. Les modalités prévues sont :</w:t>
      </w:r>
      <w:r>
        <w:t xml:space="preserve"> </w:t>
      </w:r>
      <w:r>
        <w:rPr>
          <w:b/>
          <w:bCs/>
        </w:rPr>
        <w:t xml:space="preserve">1 = ouvert (à l’aise), 2 = neutre, 3 = méfiant</w:t>
      </w:r>
      <w:r>
        <w:t xml:space="preserve">. La</w:t>
      </w:r>
      <w:r>
        <w:t xml:space="preserve"> </w:t>
      </w:r>
      <w:hyperlink w:anchor="fig-reaction">
        <w:r>
          <w:rPr>
            <w:rStyle w:val="Lienhypertexte"/>
          </w:rPr>
          <w:t xml:space="preserve">Figure 10.3</w:t>
        </w:r>
      </w:hyperlink>
      <w:r>
        <w:t xml:space="preserve"> </w:t>
      </w:r>
      <w:r>
        <w:t xml:space="preserve">présente la répartition (les codes aberrants sont exclus).</w:t>
      </w:r>
    </w:p>
    <w:tbl>
      <w:tblPr>
        <w:tblStyle w:val="Table"/>
        <w:tblW w:type="pct" w:w="5000"/>
        <w:tblLayout w:type="fixed"/>
        <w:tblLook w:firstRow="0" w:lastRow="0" w:firstColumn="0" w:lastColumn="0" w:noHBand="0" w:noVBand="0" w:val="0000"/>
      </w:tblPr>
      <w:tblGrid>
        <w:gridCol w:w="7920"/>
      </w:tblGrid>
      <w:tr>
        <w:tc>
          <w:tcPr/>
          <w:bookmarkStart w:id="710" w:name="fig-reaction"/>
          <w:p>
            <w:pPr>
              <w:jc w:val="center"/>
            </w:pPr>
            <w:pPr>
              <w:jc w:val="left"/>
              <w:spacing w:before="200"/>
              <w:pStyle w:val="ImageCaption"/>
            </w:pPr>
            <w:r>
              <w:t xml:space="preserve">Figure 10.3: Réaction du répondant selon l’enquêteur (qual2aa, fin de questionnaire)</w:t>
            </w:r>
          </w:p>
          <w:p>
            <w:pPr>
              <w:pStyle w:val="Compact"/>
              <w:jc w:val="center"/>
            </w:pPr>
            <w:r>
              <w:drawing>
                <wp:inline>
                  <wp:extent cx="5969000" cy="2984500"/>
                  <wp:effectExtent b="0" l="0" r="0" t="0"/>
                  <wp:docPr descr="" title="" id="708" name="Picture"/>
                  <a:graphic>
                    <a:graphicData uri="http://schemas.openxmlformats.org/drawingml/2006/picture">
                      <pic:pic>
                        <pic:nvPicPr>
                          <pic:cNvPr descr="10_enquete_qualite_files/figure-docx/fig-reaction-1.png" id="709" name="Picture"/>
                          <pic:cNvPicPr>
                            <a:picLocks noChangeArrowheads="1" noChangeAspect="1"/>
                          </pic:cNvPicPr>
                        </pic:nvPicPr>
                        <pic:blipFill>
                          <a:blip r:embed="rId707"/>
                          <a:stretch>
                            <a:fillRect/>
                          </a:stretch>
                        </pic:blipFill>
                        <pic:spPr bwMode="auto">
                          <a:xfrm>
                            <a:off x="0" y="0"/>
                            <a:ext cx="5969000" cy="2984500"/>
                          </a:xfrm>
                          <a:prstGeom prst="rect">
                            <a:avLst/>
                          </a:prstGeom>
                          <a:noFill/>
                          <a:ln w="9525">
                            <a:noFill/>
                            <a:headEnd/>
                            <a:tailEnd/>
                          </a:ln>
                        </pic:spPr>
                      </pic:pic>
                    </a:graphicData>
                  </a:graphic>
                </wp:inline>
              </w:drawing>
            </w:r>
          </w:p>
          <w:bookmarkEnd w:id="710"/>
        </w:tc>
      </w:tr>
    </w:tbl>
    <w:bookmarkEnd w:id="711"/>
    <w:bookmarkEnd w:id="712"/>
    <w:bookmarkStart w:id="714" w:name="bibliographie"/>
    <w:p>
      <w:pPr>
        <w:pStyle w:val="Titre1"/>
      </w:pPr>
      <w:r>
        <w:t xml:space="preserve">Bibliographie</w:t>
      </w:r>
    </w:p>
    <w:bookmarkStart w:id="713" w:name="refs"/>
    <w:bookmarkEnd w:id="713"/>
    <w:bookmarkEnd w:id="714"/>
    <w:sectPr w:rsidR="0064096E" w:rsidRPr="003D4C45">
      <w:footnotePr>
        <w:numRestart w:val="eachSect"/>
      </w:footnotePr>
      <w:pgSz w:h="15840" w:w="12240"/>
      <w:pgMar w:bottom="1417" w:footer="720" w:gutter="0" w:header="720" w:left="1417" w:right="1417" w:top="1417"/>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41ACE99E"/>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C4380B48"/>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9FDC2D78"/>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8C92309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8C72582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C568C656"/>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4DD2E348"/>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1DACD378"/>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0B726DC4"/>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D54ED0AE"/>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0000A990"/>
    <w:multiLevelType w:val="multilevel"/>
    <w:tmpl w:val="AEB85488"/>
    <w:lvl w:ilvl="0">
      <w:numFmt w:val="bullet"/>
      <w:lvlText w:val=" "/>
      <w:lvlJc w:val="left"/>
      <w:pPr>
        <w:ind w:hanging="360" w:left="720"/>
      </w:pPr>
    </w:lvl>
    <w:lvl w:ilvl="1">
      <w:numFmt w:val="bullet"/>
      <w:lvlText w:val=" "/>
      <w:lvlJc w:val="left"/>
      <w:pPr>
        <w:ind w:hanging="360" w:left="1440"/>
      </w:pPr>
    </w:lvl>
    <w:lvl w:ilvl="2">
      <w:numFmt w:val="bullet"/>
      <w:lvlText w:val=" "/>
      <w:lvlJc w:val="left"/>
      <w:pPr>
        <w:ind w:hanging="360" w:left="2160"/>
      </w:pPr>
    </w:lvl>
    <w:lvl w:ilvl="3">
      <w:numFmt w:val="bullet"/>
      <w:lvlText w:val=" "/>
      <w:lvlJc w:val="left"/>
      <w:pPr>
        <w:ind w:hanging="360" w:left="2880"/>
      </w:pPr>
    </w:lvl>
    <w:lvl w:ilvl="4">
      <w:numFmt w:val="bullet"/>
      <w:lvlText w:val=" "/>
      <w:lvlJc w:val="left"/>
      <w:pPr>
        <w:ind w:hanging="360" w:left="3600"/>
      </w:pPr>
    </w:lvl>
    <w:lvl w:ilvl="5">
      <w:numFmt w:val="bullet"/>
      <w:lvlText w:val=" "/>
      <w:lvlJc w:val="left"/>
      <w:pPr>
        <w:ind w:hanging="360" w:left="4320"/>
      </w:pPr>
    </w:lvl>
    <w:lvl w:ilvl="6">
      <w:numFmt w:val="bullet"/>
      <w:lvlText w:val=" "/>
      <w:lvlJc w:val="left"/>
      <w:pPr>
        <w:ind w:hanging="360" w:left="5040"/>
      </w:pPr>
    </w:lvl>
    <w:lvl w:ilvl="7">
      <w:numFmt w:val="bullet"/>
      <w:lvlText w:val=" "/>
      <w:lvlJc w:val="left"/>
      <w:pPr>
        <w:ind w:hanging="360" w:left="5760"/>
      </w:pPr>
    </w:lvl>
    <w:lvl w:ilvl="8">
      <w:numFmt w:val="bullet"/>
      <w:lvlText w:val=" "/>
      <w:lvlJc w:val="left"/>
      <w:pPr>
        <w:ind w:hanging="360" w:left="6480"/>
      </w:pPr>
    </w:lvl>
  </w:abstractNum>
  <w:abstractNum w15:restartNumberingAfterBreak="0" w:abstractNumId="11">
    <w:nsid w:val="0000A991"/>
    <w:multiLevelType w:val="multilevel"/>
    <w:tmpl w:val="DDB2AA0C"/>
    <w:lvl w:ilvl="0">
      <w:numFmt w:val="bullet"/>
      <w:lvlText w:val=""/>
      <w:lvlJc w:val="left"/>
      <w:pPr>
        <w:ind w:hanging="360" w:left="720"/>
      </w:pPr>
      <w:rPr>
        <w:rFonts w:ascii="Symbol" w:cs="Symbol" w:hAnsi="Symbol" w:hint="default"/>
      </w:rPr>
    </w:lvl>
    <w:lvl w:ilvl="1">
      <w:numFmt w:val="bullet"/>
      <w:lvlText w:val="o"/>
      <w:lvlJc w:val="left"/>
      <w:pPr>
        <w:ind w:hanging="360" w:left="1440"/>
      </w:pPr>
      <w:rPr>
        <w:rFonts w:ascii="Courier New" w:cs="Courier New" w:hAnsi="Courier New" w:hint="default"/>
      </w:rPr>
    </w:lvl>
    <w:lvl w:ilvl="2">
      <w:numFmt w:val="bullet"/>
      <w:lvlText w:val=""/>
      <w:lvlJc w:val="left"/>
      <w:pPr>
        <w:ind w:hanging="360" w:left="2160"/>
      </w:pPr>
      <w:rPr>
        <w:rFonts w:ascii="Wingdings" w:cs="Wingdings" w:hAnsi="Wingdings" w:hint="default"/>
      </w:rPr>
    </w:lvl>
    <w:lvl w:ilvl="3">
      <w:numFmt w:val="bullet"/>
      <w:lvlText w:val=""/>
      <w:lvlJc w:val="left"/>
      <w:pPr>
        <w:ind w:hanging="360" w:left="2880"/>
      </w:pPr>
      <w:rPr>
        <w:rFonts w:ascii="Symbol" w:cs="Symbol" w:hAnsi="Symbol" w:hint="default"/>
      </w:rPr>
    </w:lvl>
    <w:lvl w:ilvl="4">
      <w:numFmt w:val="bullet"/>
      <w:lvlText w:val="o"/>
      <w:lvlJc w:val="left"/>
      <w:pPr>
        <w:ind w:hanging="360" w:left="3600"/>
      </w:pPr>
      <w:rPr>
        <w:rFonts w:ascii="Courier New" w:cs="Courier New" w:hAnsi="Courier New" w:hint="default"/>
      </w:rPr>
    </w:lvl>
    <w:lvl w:ilvl="5">
      <w:numFmt w:val="bullet"/>
      <w:lvlText w:val=""/>
      <w:lvlJc w:val="left"/>
      <w:pPr>
        <w:ind w:hanging="360" w:left="4320"/>
      </w:pPr>
      <w:rPr>
        <w:rFonts w:ascii="Wingdings" w:cs="Wingdings" w:hAnsi="Wingdings" w:hint="default"/>
      </w:rPr>
    </w:lvl>
    <w:lvl w:ilvl="6">
      <w:numFmt w:val="bullet"/>
      <w:lvlText w:val=""/>
      <w:lvlJc w:val="left"/>
      <w:pPr>
        <w:ind w:hanging="360" w:left="5040"/>
      </w:pPr>
      <w:rPr>
        <w:rFonts w:ascii="Symbol" w:cs="Symbol" w:hAnsi="Symbol" w:hint="default"/>
      </w:rPr>
    </w:lvl>
    <w:lvl w:ilvl="7">
      <w:numFmt w:val="bullet"/>
      <w:lvlText w:val="o"/>
      <w:lvlJc w:val="left"/>
      <w:pPr>
        <w:ind w:hanging="360" w:left="5760"/>
      </w:pPr>
      <w:rPr>
        <w:rFonts w:ascii="Courier New" w:cs="Courier New" w:hAnsi="Courier New" w:hint="default"/>
      </w:rPr>
    </w:lvl>
    <w:lvl w:ilvl="8">
      <w:numFmt w:val="bullet"/>
      <w:lvlText w:val=""/>
      <w:lvlJc w:val="left"/>
      <w:pPr>
        <w:ind w:hanging="360" w:left="6480"/>
      </w:pPr>
      <w:rPr>
        <w:rFonts w:ascii="Wingdings" w:cs="Wingdings" w:hAnsi="Wingdings" w:hint="default"/>
      </w:rPr>
    </w:lvl>
  </w:abstractNum>
  <w:abstractNum w15:restartNumberingAfterBreak="0" w:abstractNumId="12">
    <w:nsid w:val="00A99411"/>
    <w:multiLevelType w:val="multilevel"/>
    <w:tmpl w:val="EA6E0B9C"/>
    <w:lvl w:ilvl="0">
      <w:start w:val="1"/>
      <w:numFmt w:val="decimal"/>
      <w:lvlText w:val="%1."/>
      <w:lvlJc w:val="left"/>
      <w:pPr>
        <w:ind w:hanging="360" w:left="720"/>
      </w:pPr>
    </w:lvl>
    <w:lvl w:ilvl="1">
      <w:start w:val="1"/>
      <w:numFmt w:val="decimal"/>
      <w:lvlText w:val="%2."/>
      <w:lvlJc w:val="left"/>
      <w:pPr>
        <w:ind w:hanging="360" w:left="1440"/>
      </w:pPr>
    </w:lvl>
    <w:lvl w:ilvl="2">
      <w:start w:val="1"/>
      <w:numFmt w:val="decimal"/>
      <w:lvlText w:val="%3."/>
      <w:lvlJc w:val="left"/>
      <w:pPr>
        <w:ind w:hanging="360" w:left="2160"/>
      </w:pPr>
    </w:lvl>
    <w:lvl w:ilvl="3">
      <w:start w:val="1"/>
      <w:numFmt w:val="decimal"/>
      <w:lvlText w:val="%4."/>
      <w:lvlJc w:val="left"/>
      <w:pPr>
        <w:ind w:hanging="360" w:left="2880"/>
      </w:pPr>
    </w:lvl>
    <w:lvl w:ilvl="4">
      <w:start w:val="1"/>
      <w:numFmt w:val="decimal"/>
      <w:lvlText w:val="%5."/>
      <w:lvlJc w:val="left"/>
      <w:pPr>
        <w:ind w:hanging="360" w:left="3600"/>
      </w:pPr>
    </w:lvl>
    <w:lvl w:ilvl="5">
      <w:start w:val="1"/>
      <w:numFmt w:val="decimal"/>
      <w:lvlText w:val="%6."/>
      <w:lvlJc w:val="left"/>
      <w:pPr>
        <w:ind w:hanging="360" w:left="4320"/>
      </w:pPr>
    </w:lvl>
    <w:lvl w:ilvl="6">
      <w:start w:val="1"/>
      <w:numFmt w:val="decimal"/>
      <w:lvlText w:val="%7."/>
      <w:lvlJc w:val="left"/>
      <w:pPr>
        <w:ind w:hanging="360" w:left="5040"/>
      </w:pPr>
    </w:lvl>
    <w:lvl w:ilvl="7">
      <w:start w:val="1"/>
      <w:numFmt w:val="decimal"/>
      <w:lvlText w:val="%8."/>
      <w:lvlJc w:val="left"/>
      <w:pPr>
        <w:ind w:hanging="360" w:left="5760"/>
      </w:pPr>
    </w:lvl>
    <w:lvl w:ilvl="8">
      <w:start w:val="1"/>
      <w:numFmt w:val="decimal"/>
      <w:lvlText w:val="%9."/>
      <w:lvlJc w:val="left"/>
      <w:pPr>
        <w:ind w:hanging="360" w:left="648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678923186" w:numId="1">
    <w:abstractNumId w:val="10"/>
  </w:num>
  <w:num w16cid:durableId="1896432417" w:numId="2">
    <w:abstractNumId w:val="11"/>
  </w:num>
  <w:num w16cid:durableId="986931371" w:numId="3">
    <w:abstractNumId w:val="11"/>
  </w:num>
  <w:num w16cid:durableId="1246038004" w:numId="4">
    <w:abstractNumId w:val="11"/>
  </w:num>
  <w:num w16cid:durableId="896554641" w:numId="5">
    <w:abstractNumId w:val="11"/>
  </w:num>
  <w:num w16cid:durableId="2056393047" w:numId="6">
    <w:abstractNumId w:val="11"/>
  </w:num>
  <w:num w16cid:durableId="1474982097" w:numId="7">
    <w:abstractNumId w:val="11"/>
  </w:num>
  <w:num w16cid:durableId="1536190727" w:numId="8">
    <w:abstractNumId w:val="11"/>
  </w:num>
  <w:num w16cid:durableId="229272298" w:numId="9">
    <w:abstractNumId w:val="11"/>
  </w:num>
  <w:num w16cid:durableId="1105536317" w:numId="10">
    <w:abstractNumId w:val="11"/>
  </w:num>
  <w:num w16cid:durableId="1391074002"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273779840"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707678899" w:numId="13">
    <w:abstractNumId w:val="11"/>
  </w:num>
  <w:num w16cid:durableId="1486823781"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967858631"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586887053"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216283290"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813446772" w:numId="18">
    <w:abstractNumId w:val="11"/>
  </w:num>
  <w:num w16cid:durableId="1100376136" w:numId="19">
    <w:abstractNumId w:val="8"/>
  </w:num>
  <w:num w16cid:durableId="903444720" w:numId="20">
    <w:abstractNumId w:val="3"/>
  </w:num>
  <w:num w16cid:durableId="212276186" w:numId="21">
    <w:abstractNumId w:val="2"/>
  </w:num>
  <w:num w16cid:durableId="947127148" w:numId="22">
    <w:abstractNumId w:val="1"/>
  </w:num>
  <w:num w16cid:durableId="792216410" w:numId="23">
    <w:abstractNumId w:val="0"/>
  </w:num>
  <w:num w16cid:durableId="202256955" w:numId="24">
    <w:abstractNumId w:val="9"/>
  </w:num>
  <w:num w16cid:durableId="1019818314" w:numId="25">
    <w:abstractNumId w:val="7"/>
  </w:num>
  <w:num w16cid:durableId="1212378911" w:numId="26">
    <w:abstractNumId w:val="6"/>
  </w:num>
  <w:num w16cid:durableId="1133254650" w:numId="27">
    <w:abstractNumId w:val="5"/>
  </w:num>
  <w:num w16cid:durableId="1097553461" w:numId="28">
    <w:abstractNumId w:val="4"/>
  </w:num>
  <w:num w:numId="1000">
    <w:abstractNumId w:val="990"/>
  </w:num>
  <w:num w:numId="1001">
    <w:abstractNumId w:val="991"/>
  </w:num>
  <w:num w:numId="1002">
    <w:abstractNumId w:val="991"/>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3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96E"/>
    <w:rsid w:val="00240370"/>
    <w:rsid w:val="002462CE"/>
    <w:rsid w:val="003D4C45"/>
    <w:rsid w:val="0064096E"/>
    <w:rsid w:val="00AB2D41"/>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fr"/>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Titre1" w:type="paragraph">
    <w:name w:val="heading 1"/>
    <w:basedOn w:val="Normal"/>
    <w:next w:val="Corpsdetexte"/>
    <w:link w:val="Titre1Car"/>
    <w:uiPriority w:val="9"/>
    <w:qFormat/>
    <w:rsid w:val="002462CE"/>
    <w:pPr>
      <w:keepNext/>
      <w:keepLines/>
      <w:pageBreakBefore/>
      <w:spacing w:after="0" w:before="480"/>
      <w:outlineLvl w:val="0"/>
    </w:pPr>
    <w:rPr>
      <w:rFonts w:asciiTheme="majorHAnsi" w:cstheme="majorBidi" w:eastAsiaTheme="majorEastAsia" w:hAnsiTheme="majorHAnsi"/>
      <w:color w:themeColor="accent1" w:themeShade="BF" w:val="0F4761"/>
      <w:sz w:val="40"/>
      <w:szCs w:val="40"/>
    </w:rPr>
  </w:style>
  <w:style w:styleId="Titre2" w:type="paragraph">
    <w:name w:val="heading 2"/>
    <w:basedOn w:val="Normal"/>
    <w:next w:val="Corpsdetexte"/>
    <w:link w:val="Titre2Car"/>
    <w:uiPriority w:val="9"/>
    <w:unhideWhenUsed/>
    <w:qFormat/>
    <w:rsid w:val="002462CE"/>
    <w:pPr>
      <w:keepNext/>
      <w:keepLines/>
      <w:spacing w:after="360" w:before="480"/>
      <w:outlineLvl w:val="1"/>
    </w:pPr>
    <w:rPr>
      <w:rFonts w:asciiTheme="majorHAnsi" w:cstheme="majorBidi" w:eastAsiaTheme="majorEastAsia" w:hAnsiTheme="majorHAnsi"/>
      <w:color w:themeColor="accent1" w:themeShade="BF" w:val="0F4761"/>
      <w:sz w:val="32"/>
      <w:szCs w:val="32"/>
    </w:rPr>
  </w:style>
  <w:style w:styleId="Titre3" w:type="paragraph">
    <w:name w:val="heading 3"/>
    <w:basedOn w:val="Normal"/>
    <w:next w:val="Corpsdetexte"/>
    <w:link w:val="Titre3Car"/>
    <w:uiPriority w:val="9"/>
    <w:semiHidden/>
    <w:unhideWhenUsed/>
    <w:qFormat/>
    <w:rsid w:val="002462CE"/>
    <w:pPr>
      <w:keepNext/>
      <w:keepLines/>
      <w:spacing w:after="240" w:before="360"/>
      <w:outlineLvl w:val="2"/>
    </w:pPr>
    <w:rPr>
      <w:rFonts w:cstheme="majorBidi" w:eastAsiaTheme="majorEastAsia"/>
      <w:color w:themeColor="accent1" w:themeShade="BF" w:val="0F4761"/>
      <w:sz w:val="28"/>
      <w:szCs w:val="28"/>
    </w:rPr>
  </w:style>
  <w:style w:styleId="Titre4" w:type="paragraph">
    <w:name w:val="heading 4"/>
    <w:basedOn w:val="Normal"/>
    <w:next w:val="Corpsdetexte"/>
    <w:link w:val="Titre4Car"/>
    <w:uiPriority w:val="9"/>
    <w:semiHidden/>
    <w:unhideWhenUsed/>
    <w:qFormat/>
    <w:rsid w:val="002462CE"/>
    <w:pPr>
      <w:keepNext/>
      <w:keepLines/>
      <w:spacing w:after="0" w:before="120"/>
      <w:outlineLvl w:val="3"/>
    </w:pPr>
    <w:rPr>
      <w:rFonts w:cstheme="majorBidi" w:eastAsiaTheme="majorEastAsia"/>
      <w:i/>
      <w:iCs/>
      <w:color w:themeColor="accent1" w:themeShade="BF" w:val="0F4761"/>
    </w:rPr>
  </w:style>
  <w:style w:styleId="Titre5" w:type="paragraph">
    <w:name w:val="heading 5"/>
    <w:basedOn w:val="Normal"/>
    <w:next w:val="Corpsdetexte"/>
    <w:link w:val="Titre5C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Titre6" w:type="paragraph">
    <w:name w:val="heading 6"/>
    <w:basedOn w:val="Normal"/>
    <w:next w:val="Corpsdetexte"/>
    <w:link w:val="Titre6C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Titre7" w:type="paragraph">
    <w:name w:val="heading 7"/>
    <w:basedOn w:val="Normal"/>
    <w:next w:val="Corpsdetexte"/>
    <w:link w:val="Titre7C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Titre8" w:type="paragraph">
    <w:name w:val="heading 8"/>
    <w:basedOn w:val="Normal"/>
    <w:next w:val="Corpsdetexte"/>
    <w:link w:val="Titre8C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Titre9" w:type="paragraph">
    <w:name w:val="heading 9"/>
    <w:basedOn w:val="Normal"/>
    <w:next w:val="Corpsdetexte"/>
    <w:link w:val="Titre9C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Policepardfaut" w:type="character">
    <w:name w:val="Default Paragraph Font"/>
    <w:uiPriority w:val="1"/>
    <w:semiHidden/>
    <w:unhideWhenUsed/>
  </w:style>
  <w:style w:default="1" w:styleId="TableauNormal" w:type="table">
    <w:name w:val="Normal Table"/>
    <w:uiPriority w:val="99"/>
    <w:semiHidden/>
    <w:unhideWhenUsed/>
    <w:tblPr>
      <w:tblInd w:type="dxa" w:w="0"/>
      <w:tblCellMar>
        <w:top w:type="dxa" w:w="0"/>
        <w:left w:type="dxa" w:w="108"/>
        <w:bottom w:type="dxa" w:w="0"/>
        <w:right w:type="dxa" w:w="108"/>
      </w:tblCellMar>
    </w:tblPr>
  </w:style>
  <w:style w:default="1" w:styleId="Aucuneliste" w:type="numbering">
    <w:name w:val="No List"/>
    <w:uiPriority w:val="99"/>
    <w:semiHidden/>
    <w:unhideWhenUsed/>
  </w:style>
  <w:style w:styleId="Corpsdetexte" w:type="paragraph">
    <w:name w:val="Body Text"/>
    <w:basedOn w:val="Normal"/>
    <w:link w:val="CorpsdetexteCar"/>
    <w:qFormat/>
    <w:rsid w:val="00AB2D41"/>
    <w:pPr>
      <w:spacing w:after="0" w:before="120"/>
    </w:pPr>
    <w:rPr>
      <w:sz w:val="22"/>
    </w:rPr>
  </w:style>
  <w:style w:customStyle="1" w:styleId="FirstParagraph" w:type="paragraph">
    <w:name w:val="First Paragraph"/>
    <w:basedOn w:val="Corpsdetexte"/>
    <w:next w:val="Corpsdetexte"/>
    <w:qFormat/>
    <w:rsid w:val="00AB2D41"/>
  </w:style>
  <w:style w:customStyle="1" w:styleId="Compact" w:type="paragraph">
    <w:name w:val="Compact"/>
    <w:basedOn w:val="Corpsdetexte"/>
    <w:qFormat/>
    <w:rsid w:val="00240370"/>
    <w:pPr>
      <w:keepNext/>
    </w:pPr>
  </w:style>
  <w:style w:styleId="Titre" w:type="paragraph">
    <w:name w:val="Title"/>
    <w:basedOn w:val="Normal"/>
    <w:next w:val="Corpsdetexte"/>
    <w:link w:val="TitreC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reCar" w:type="character">
    <w:name w:val="Titre Car"/>
    <w:basedOn w:val="Policepardfaut"/>
    <w:link w:val="Titre"/>
    <w:uiPriority w:val="10"/>
    <w:rsid w:val="00A10FD9"/>
    <w:rPr>
      <w:rFonts w:asciiTheme="majorHAnsi" w:cstheme="majorBidi" w:eastAsiaTheme="majorEastAsia" w:hAnsiTheme="majorHAnsi"/>
      <w:sz w:val="56"/>
      <w:szCs w:val="56"/>
    </w:rPr>
  </w:style>
  <w:style w:styleId="Sous-titre" w:type="paragraph">
    <w:name w:val="Subtitle"/>
    <w:basedOn w:val="Titre"/>
    <w:next w:val="Corpsdetexte"/>
    <w:link w:val="Sous-titreCar"/>
    <w:uiPriority w:val="11"/>
    <w:qFormat/>
    <w:rsid w:val="00A10FD9"/>
    <w:pPr>
      <w:numPr>
        <w:ilvl w:val="1"/>
      </w:numPr>
    </w:pPr>
    <w:rPr>
      <w:spacing w:val="15"/>
      <w:sz w:val="28"/>
      <w:szCs w:val="28"/>
    </w:rPr>
  </w:style>
  <w:style w:customStyle="1" w:styleId="Sous-titreCar" w:type="character">
    <w:name w:val="Sous-titre Car"/>
    <w:basedOn w:val="Policepardfaut"/>
    <w:link w:val="Sous-titr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re"/>
    <w:next w:val="Corpsdetexte"/>
    <w:qFormat/>
    <w:pPr>
      <w:keepNext/>
      <w:keepLines/>
    </w:pPr>
    <w:rPr>
      <w:sz w:val="24"/>
      <w:szCs w:val="24"/>
    </w:rPr>
  </w:style>
  <w:style w:styleId="Date" w:type="paragraph">
    <w:name w:val="Date"/>
    <w:basedOn w:val="Titre"/>
    <w:next w:val="Corpsdetexte"/>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Corpsdetexte"/>
    <w:qFormat/>
    <w:pPr>
      <w:keepNext/>
      <w:keepLines/>
      <w:spacing w:after="300" w:before="100"/>
    </w:pPr>
    <w:rPr>
      <w:sz w:val="20"/>
      <w:szCs w:val="20"/>
    </w:rPr>
  </w:style>
  <w:style w:styleId="Bibliographie" w:type="paragraph">
    <w:name w:val="Bibliography"/>
    <w:basedOn w:val="Normal"/>
    <w:qFormat/>
  </w:style>
  <w:style w:customStyle="1" w:styleId="Titre1Car" w:type="character">
    <w:name w:val="Titre 1 Car"/>
    <w:basedOn w:val="Policepardfaut"/>
    <w:link w:val="Titre1"/>
    <w:uiPriority w:val="9"/>
    <w:rsid w:val="002462CE"/>
    <w:rPr>
      <w:rFonts w:asciiTheme="majorHAnsi" w:cstheme="majorBidi" w:eastAsiaTheme="majorEastAsia" w:hAnsiTheme="majorHAnsi"/>
      <w:color w:themeColor="accent1" w:themeShade="BF" w:val="0F4761"/>
      <w:sz w:val="40"/>
      <w:szCs w:val="40"/>
    </w:rPr>
  </w:style>
  <w:style w:customStyle="1" w:styleId="Titre2Car" w:type="character">
    <w:name w:val="Titre 2 Car"/>
    <w:basedOn w:val="Policepardfaut"/>
    <w:link w:val="Titre2"/>
    <w:uiPriority w:val="9"/>
    <w:rsid w:val="002462CE"/>
    <w:rPr>
      <w:rFonts w:asciiTheme="majorHAnsi" w:cstheme="majorBidi" w:eastAsiaTheme="majorEastAsia" w:hAnsiTheme="majorHAnsi"/>
      <w:color w:themeColor="accent1" w:themeShade="BF" w:val="0F4761"/>
      <w:sz w:val="32"/>
      <w:szCs w:val="32"/>
    </w:rPr>
  </w:style>
  <w:style w:customStyle="1" w:styleId="Titre3Car" w:type="character">
    <w:name w:val="Titre 3 Car"/>
    <w:basedOn w:val="Policepardfaut"/>
    <w:link w:val="Titre3"/>
    <w:uiPriority w:val="9"/>
    <w:semiHidden/>
    <w:rsid w:val="002462CE"/>
    <w:rPr>
      <w:rFonts w:cstheme="majorBidi" w:eastAsiaTheme="majorEastAsia"/>
      <w:color w:themeColor="accent1" w:themeShade="BF" w:val="0F4761"/>
      <w:sz w:val="28"/>
      <w:szCs w:val="28"/>
    </w:rPr>
  </w:style>
  <w:style w:customStyle="1" w:styleId="Titre4Car" w:type="character">
    <w:name w:val="Titre 4 Car"/>
    <w:basedOn w:val="Policepardfaut"/>
    <w:link w:val="Titre4"/>
    <w:uiPriority w:val="9"/>
    <w:semiHidden/>
    <w:rsid w:val="002462CE"/>
    <w:rPr>
      <w:rFonts w:cstheme="majorBidi" w:eastAsiaTheme="majorEastAsia"/>
      <w:i/>
      <w:iCs/>
      <w:color w:themeColor="accent1" w:themeShade="BF" w:val="0F4761"/>
    </w:rPr>
  </w:style>
  <w:style w:customStyle="1" w:styleId="Titre5Car" w:type="character">
    <w:name w:val="Titre 5 Car"/>
    <w:basedOn w:val="Policepardfaut"/>
    <w:link w:val="Titre5"/>
    <w:uiPriority w:val="9"/>
    <w:semiHidden/>
    <w:rsid w:val="00A10FD9"/>
    <w:rPr>
      <w:rFonts w:cstheme="majorBidi" w:eastAsiaTheme="majorEastAsia"/>
      <w:color w:themeColor="accent1" w:themeShade="BF" w:val="0F4761"/>
    </w:rPr>
  </w:style>
  <w:style w:customStyle="1" w:styleId="Titre6Car" w:type="character">
    <w:name w:val="Titre 6 Car"/>
    <w:basedOn w:val="Policepardfaut"/>
    <w:link w:val="Titre6"/>
    <w:uiPriority w:val="9"/>
    <w:semiHidden/>
    <w:rsid w:val="00A10FD9"/>
    <w:rPr>
      <w:rFonts w:cstheme="majorBidi" w:eastAsiaTheme="majorEastAsia"/>
      <w:i/>
      <w:iCs/>
      <w:color w:themeColor="text1" w:themeTint="A6" w:val="595959"/>
    </w:rPr>
  </w:style>
  <w:style w:customStyle="1" w:styleId="Titre7Car" w:type="character">
    <w:name w:val="Titre 7 Car"/>
    <w:basedOn w:val="Policepardfaut"/>
    <w:link w:val="Titre7"/>
    <w:uiPriority w:val="9"/>
    <w:semiHidden/>
    <w:rsid w:val="00A10FD9"/>
    <w:rPr>
      <w:rFonts w:cstheme="majorBidi" w:eastAsiaTheme="majorEastAsia"/>
      <w:color w:themeColor="text1" w:themeTint="A6" w:val="595959"/>
    </w:rPr>
  </w:style>
  <w:style w:customStyle="1" w:styleId="Titre8Car" w:type="character">
    <w:name w:val="Titre 8 Car"/>
    <w:basedOn w:val="Policepardfaut"/>
    <w:link w:val="Titre8"/>
    <w:uiPriority w:val="9"/>
    <w:semiHidden/>
    <w:rsid w:val="00A10FD9"/>
    <w:rPr>
      <w:rFonts w:cstheme="majorBidi" w:eastAsiaTheme="majorEastAsia"/>
      <w:i/>
      <w:iCs/>
      <w:color w:themeColor="text1" w:themeTint="D8" w:val="272727"/>
    </w:rPr>
  </w:style>
  <w:style w:customStyle="1" w:styleId="Titre9Car" w:type="character">
    <w:name w:val="Titre 9 Car"/>
    <w:basedOn w:val="Policepardfaut"/>
    <w:link w:val="Titre9"/>
    <w:uiPriority w:val="9"/>
    <w:semiHidden/>
    <w:rsid w:val="00A10FD9"/>
    <w:rPr>
      <w:rFonts w:cstheme="majorBidi" w:eastAsiaTheme="majorEastAsia"/>
      <w:color w:themeColor="text1" w:themeTint="D8" w:val="272727"/>
    </w:rPr>
  </w:style>
  <w:style w:styleId="Normalcentr" w:type="paragraph">
    <w:name w:val="Block Text"/>
    <w:basedOn w:val="Corpsdetexte"/>
    <w:next w:val="Corpsdetexte"/>
    <w:uiPriority w:val="9"/>
    <w:unhideWhenUsed/>
    <w:qFormat/>
    <w:pPr>
      <w:spacing w:after="100" w:before="100"/>
      <w:ind w:left="480" w:right="480"/>
    </w:pPr>
  </w:style>
  <w:style w:styleId="Notedebasdepage" w:type="paragraph">
    <w:name w:val="footnote text"/>
    <w:basedOn w:val="Normal"/>
    <w:uiPriority w:val="9"/>
    <w:unhideWhenUsed/>
    <w:qFormat/>
  </w:style>
  <w:style w:customStyle="1" w:styleId="FootnoteBlockText" w:type="paragraph">
    <w:name w:val="Footnote Block Text"/>
    <w:basedOn w:val="Notedebasdepage"/>
    <w:next w:val="Notedebasdepage"/>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Lgende" w:type="paragraph">
    <w:name w:val="caption"/>
    <w:basedOn w:val="Normal"/>
    <w:link w:val="LgendeCar"/>
    <w:pPr>
      <w:spacing w:after="120"/>
    </w:pPr>
    <w:rPr>
      <w:i/>
    </w:rPr>
  </w:style>
  <w:style w:customStyle="1" w:styleId="TableCaption" w:type="paragraph">
    <w:name w:val="Table Caption"/>
    <w:basedOn w:val="Lgende"/>
    <w:pPr>
      <w:keepNext/>
    </w:pPr>
  </w:style>
  <w:style w:customStyle="1" w:styleId="ImageCaption" w:type="paragraph">
    <w:name w:val="Image Caption"/>
    <w:basedOn w:val="Lgende"/>
    <w:rsid w:val="00AB2D41"/>
    <w:pPr>
      <w:spacing w:after="0" w:before="120"/>
    </w:pPr>
    <w:rPr>
      <w:sz w:val="22"/>
    </w:rPr>
  </w:style>
  <w:style w:customStyle="1" w:styleId="Figure" w:type="paragraph">
    <w:name w:val="Figure"/>
    <w:basedOn w:val="Normal"/>
  </w:style>
  <w:style w:customStyle="1" w:styleId="CaptionedFigure" w:type="paragraph">
    <w:name w:val="Captioned Figure"/>
    <w:basedOn w:val="Figure"/>
    <w:pPr>
      <w:keepNext/>
    </w:pPr>
  </w:style>
  <w:style w:customStyle="1" w:styleId="LgendeCar" w:type="character">
    <w:name w:val="Légende Car"/>
    <w:basedOn w:val="Policepardfaut"/>
    <w:link w:val="Lgende"/>
  </w:style>
  <w:style w:customStyle="1" w:styleId="VerbatimChar" w:type="character">
    <w:name w:val="Verbatim Char"/>
    <w:basedOn w:val="LgendeCar"/>
    <w:link w:val="SourceCode"/>
    <w:rPr>
      <w:rFonts w:ascii="Consolas" w:hAnsi="Consolas"/>
      <w:sz w:val="22"/>
    </w:rPr>
  </w:style>
  <w:style w:customStyle="1" w:styleId="SectionNumber" w:type="character">
    <w:name w:val="Section Number"/>
    <w:basedOn w:val="LgendeCar"/>
  </w:style>
  <w:style w:styleId="Appelnotedebasdep" w:type="character">
    <w:name w:val="footnote reference"/>
    <w:basedOn w:val="LgendeCar"/>
    <w:rPr>
      <w:vertAlign w:val="superscript"/>
    </w:rPr>
  </w:style>
  <w:style w:styleId="Lienhypertexte" w:type="character">
    <w:name w:val="Hyperlink"/>
    <w:basedOn w:val="LgendeCar"/>
    <w:uiPriority w:val="99"/>
    <w:rPr>
      <w:color w:themeColor="accent1" w:val="156082"/>
    </w:rPr>
  </w:style>
  <w:style w:styleId="En-ttedetabledesmatires" w:type="paragraph">
    <w:name w:val="TOC Heading"/>
    <w:basedOn w:val="Titre1"/>
    <w:next w:val="Corpsdetexte"/>
    <w:uiPriority w:val="39"/>
    <w:unhideWhenUsed/>
    <w:qFormat/>
    <w:pPr>
      <w:spacing w:before="240" w:line="259" w:lineRule="auto"/>
      <w:outlineLvl w:val="9"/>
    </w:p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hAnsi="Consolas"/>
      <w:b/>
      <w:color w:val="003B4F"/>
      <w:sz w:val="22"/>
      <w:shd w:color="auto" w:fill="F1F3F5" w:val="clear"/>
    </w:rPr>
  </w:style>
  <w:style w:customStyle="1" w:styleId="DataTypeTok" w:type="character">
    <w:name w:val="DataTypeTok"/>
    <w:basedOn w:val="VerbatimChar"/>
    <w:rPr>
      <w:rFonts w:ascii="Consolas" w:hAnsi="Consolas"/>
      <w:color w:val="AD0000"/>
      <w:sz w:val="22"/>
      <w:shd w:color="auto" w:fill="F1F3F5" w:val="clear"/>
    </w:rPr>
  </w:style>
  <w:style w:customStyle="1" w:styleId="DecValTok" w:type="character">
    <w:name w:val="DecValTok"/>
    <w:basedOn w:val="VerbatimChar"/>
    <w:rPr>
      <w:rFonts w:ascii="Consolas" w:hAnsi="Consolas"/>
      <w:color w:val="AD0000"/>
      <w:sz w:val="22"/>
      <w:shd w:color="auto" w:fill="F1F3F5" w:val="clear"/>
    </w:rPr>
  </w:style>
  <w:style w:customStyle="1" w:styleId="BaseNTok" w:type="character">
    <w:name w:val="BaseNTok"/>
    <w:basedOn w:val="VerbatimChar"/>
    <w:rPr>
      <w:rFonts w:ascii="Consolas" w:hAnsi="Consolas"/>
      <w:color w:val="AD0000"/>
      <w:sz w:val="22"/>
      <w:shd w:color="auto" w:fill="F1F3F5" w:val="clear"/>
    </w:rPr>
  </w:style>
  <w:style w:customStyle="1" w:styleId="FloatTok" w:type="character">
    <w:name w:val="FloatTok"/>
    <w:basedOn w:val="VerbatimChar"/>
    <w:rPr>
      <w:rFonts w:ascii="Consolas" w:hAnsi="Consolas"/>
      <w:color w:val="AD0000"/>
      <w:sz w:val="22"/>
      <w:shd w:color="auto" w:fill="F1F3F5" w:val="clear"/>
    </w:rPr>
  </w:style>
  <w:style w:customStyle="1" w:styleId="ConstantTok" w:type="character">
    <w:name w:val="ConstantTok"/>
    <w:basedOn w:val="VerbatimChar"/>
    <w:rPr>
      <w:rFonts w:ascii="Consolas" w:hAnsi="Consolas"/>
      <w:color w:val="8F5902"/>
      <w:sz w:val="22"/>
      <w:shd w:color="auto" w:fill="F1F3F5" w:val="clear"/>
    </w:rPr>
  </w:style>
  <w:style w:customStyle="1" w:styleId="CharTok" w:type="character">
    <w:name w:val="CharTok"/>
    <w:basedOn w:val="VerbatimChar"/>
    <w:rPr>
      <w:rFonts w:ascii="Consolas" w:hAnsi="Consolas"/>
      <w:color w:val="20794D"/>
      <w:sz w:val="22"/>
      <w:shd w:color="auto" w:fill="F1F3F5" w:val="clear"/>
    </w:rPr>
  </w:style>
  <w:style w:customStyle="1" w:styleId="SpecialCharTok" w:type="character">
    <w:name w:val="SpecialCharTok"/>
    <w:basedOn w:val="VerbatimChar"/>
    <w:rPr>
      <w:rFonts w:ascii="Consolas" w:hAnsi="Consolas"/>
      <w:color w:val="5E5E5E"/>
      <w:sz w:val="22"/>
      <w:shd w:color="auto" w:fill="F1F3F5" w:val="clear"/>
    </w:rPr>
  </w:style>
  <w:style w:customStyle="1" w:styleId="StringTok" w:type="character">
    <w:name w:val="StringTok"/>
    <w:basedOn w:val="VerbatimChar"/>
    <w:rPr>
      <w:rFonts w:ascii="Consolas" w:hAnsi="Consolas"/>
      <w:color w:val="20794D"/>
      <w:sz w:val="22"/>
      <w:shd w:color="auto" w:fill="F1F3F5" w:val="clear"/>
    </w:rPr>
  </w:style>
  <w:style w:customStyle="1" w:styleId="VerbatimStringTok" w:type="character">
    <w:name w:val="VerbatimStringTok"/>
    <w:basedOn w:val="VerbatimChar"/>
    <w:rPr>
      <w:rFonts w:ascii="Consolas" w:hAnsi="Consolas"/>
      <w:color w:val="20794D"/>
      <w:sz w:val="22"/>
      <w:shd w:color="auto" w:fill="F1F3F5" w:val="clear"/>
    </w:rPr>
  </w:style>
  <w:style w:customStyle="1" w:styleId="SpecialStringTok" w:type="character">
    <w:name w:val="SpecialStringTok"/>
    <w:basedOn w:val="VerbatimChar"/>
    <w:rPr>
      <w:rFonts w:ascii="Consolas" w:hAnsi="Consolas"/>
      <w:color w:val="20794D"/>
      <w:sz w:val="22"/>
      <w:shd w:color="auto" w:fill="F1F3F5" w:val="clear"/>
    </w:rPr>
  </w:style>
  <w:style w:customStyle="1" w:styleId="ImportTok" w:type="character">
    <w:name w:val="ImportTok"/>
    <w:basedOn w:val="VerbatimChar"/>
    <w:rPr>
      <w:rFonts w:ascii="Consolas" w:hAnsi="Consolas"/>
      <w:color w:val="00769E"/>
      <w:sz w:val="22"/>
      <w:shd w:color="auto" w:fill="F1F3F5" w:val="clear"/>
    </w:rPr>
  </w:style>
  <w:style w:customStyle="1" w:styleId="CommentTok" w:type="character">
    <w:name w:val="CommentTok"/>
    <w:basedOn w:val="VerbatimChar"/>
    <w:rPr>
      <w:rFonts w:ascii="Consolas" w:hAnsi="Consolas"/>
      <w:color w:val="5E5E5E"/>
      <w:sz w:val="22"/>
      <w:shd w:color="auto" w:fill="F1F3F5" w:val="clear"/>
    </w:rPr>
  </w:style>
  <w:style w:customStyle="1" w:styleId="DocumentationTok" w:type="character">
    <w:name w:val="DocumentationTok"/>
    <w:basedOn w:val="VerbatimChar"/>
    <w:rPr>
      <w:rFonts w:ascii="Consolas" w:hAnsi="Consolas"/>
      <w:i/>
      <w:color w:val="5E5E5E"/>
      <w:sz w:val="22"/>
      <w:shd w:color="auto" w:fill="F1F3F5" w:val="clear"/>
    </w:rPr>
  </w:style>
  <w:style w:customStyle="1" w:styleId="AnnotationTok" w:type="character">
    <w:name w:val="AnnotationTok"/>
    <w:basedOn w:val="VerbatimChar"/>
    <w:rPr>
      <w:rFonts w:ascii="Consolas" w:hAnsi="Consolas"/>
      <w:color w:val="5E5E5E"/>
      <w:sz w:val="22"/>
      <w:shd w:color="auto" w:fill="F1F3F5" w:val="clear"/>
    </w:rPr>
  </w:style>
  <w:style w:customStyle="1" w:styleId="CommentVarTok" w:type="character">
    <w:name w:val="CommentVarTok"/>
    <w:basedOn w:val="VerbatimChar"/>
    <w:rPr>
      <w:rFonts w:ascii="Consolas" w:hAnsi="Consolas"/>
      <w:i/>
      <w:color w:val="5E5E5E"/>
      <w:sz w:val="22"/>
      <w:shd w:color="auto" w:fill="F1F3F5" w:val="clear"/>
    </w:rPr>
  </w:style>
  <w:style w:customStyle="1" w:styleId="OtherTok" w:type="character">
    <w:name w:val="OtherTok"/>
    <w:basedOn w:val="VerbatimChar"/>
    <w:rPr>
      <w:rFonts w:ascii="Consolas" w:hAnsi="Consolas"/>
      <w:color w:val="003B4F"/>
      <w:sz w:val="22"/>
      <w:shd w:color="auto" w:fill="F1F3F5" w:val="clear"/>
    </w:rPr>
  </w:style>
  <w:style w:customStyle="1" w:styleId="FunctionTok" w:type="character">
    <w:name w:val="FunctionTok"/>
    <w:basedOn w:val="VerbatimChar"/>
    <w:rPr>
      <w:rFonts w:ascii="Consolas" w:hAnsi="Consolas"/>
      <w:color w:val="4758AB"/>
      <w:sz w:val="22"/>
      <w:shd w:color="auto" w:fill="F1F3F5" w:val="clear"/>
    </w:rPr>
  </w:style>
  <w:style w:customStyle="1" w:styleId="VariableTok" w:type="character">
    <w:name w:val="VariableTok"/>
    <w:basedOn w:val="VerbatimChar"/>
    <w:rPr>
      <w:rFonts w:ascii="Consolas" w:hAnsi="Consolas"/>
      <w:color w:val="111111"/>
      <w:sz w:val="22"/>
      <w:shd w:color="auto" w:fill="F1F3F5" w:val="clear"/>
    </w:rPr>
  </w:style>
  <w:style w:customStyle="1" w:styleId="ControlFlowTok" w:type="character">
    <w:name w:val="ControlFlowTok"/>
    <w:basedOn w:val="VerbatimChar"/>
    <w:rPr>
      <w:rFonts w:ascii="Consolas" w:hAnsi="Consolas"/>
      <w:b/>
      <w:color w:val="003B4F"/>
      <w:sz w:val="22"/>
      <w:shd w:color="auto" w:fill="F1F3F5" w:val="clear"/>
    </w:rPr>
  </w:style>
  <w:style w:customStyle="1" w:styleId="OperatorTok" w:type="character">
    <w:name w:val="OperatorTok"/>
    <w:basedOn w:val="VerbatimChar"/>
    <w:rPr>
      <w:rFonts w:ascii="Consolas" w:hAnsi="Consolas"/>
      <w:color w:val="5E5E5E"/>
      <w:sz w:val="22"/>
      <w:shd w:color="auto" w:fill="F1F3F5" w:val="clear"/>
    </w:rPr>
  </w:style>
  <w:style w:customStyle="1" w:styleId="BuiltInTok" w:type="character">
    <w:name w:val="BuiltInTok"/>
    <w:basedOn w:val="VerbatimChar"/>
    <w:rPr>
      <w:rFonts w:ascii="Consolas" w:hAnsi="Consolas"/>
      <w:color w:val="003B4F"/>
      <w:sz w:val="22"/>
      <w:shd w:color="auto" w:fill="F1F3F5" w:val="clear"/>
    </w:rPr>
  </w:style>
  <w:style w:customStyle="1" w:styleId="ExtensionTok" w:type="character">
    <w:name w:val="ExtensionTok"/>
    <w:basedOn w:val="VerbatimChar"/>
    <w:rPr>
      <w:rFonts w:ascii="Consolas" w:hAnsi="Consolas"/>
      <w:color w:val="003B4F"/>
      <w:sz w:val="22"/>
      <w:shd w:color="auto" w:fill="F1F3F5" w:val="clear"/>
    </w:rPr>
  </w:style>
  <w:style w:customStyle="1" w:styleId="PreprocessorTok" w:type="character">
    <w:name w:val="PreprocessorTok"/>
    <w:basedOn w:val="VerbatimChar"/>
    <w:rPr>
      <w:rFonts w:ascii="Consolas" w:hAnsi="Consolas"/>
      <w:color w:val="AD0000"/>
      <w:sz w:val="22"/>
      <w:shd w:color="auto" w:fill="F1F3F5" w:val="clear"/>
    </w:rPr>
  </w:style>
  <w:style w:customStyle="1" w:styleId="AttributeTok" w:type="character">
    <w:name w:val="AttributeTok"/>
    <w:basedOn w:val="VerbatimChar"/>
    <w:rPr>
      <w:rFonts w:ascii="Consolas" w:hAnsi="Consolas"/>
      <w:color w:val="657422"/>
      <w:sz w:val="22"/>
      <w:shd w:color="auto" w:fill="F1F3F5" w:val="clear"/>
    </w:rPr>
  </w:style>
  <w:style w:customStyle="1" w:styleId="RegionMarkerTok" w:type="character">
    <w:name w:val="RegionMarkerTok"/>
    <w:basedOn w:val="VerbatimChar"/>
    <w:rPr>
      <w:rFonts w:ascii="Consolas" w:hAnsi="Consolas"/>
      <w:color w:val="003B4F"/>
      <w:sz w:val="22"/>
      <w:shd w:color="auto" w:fill="F1F3F5" w:val="clear"/>
    </w:rPr>
  </w:style>
  <w:style w:customStyle="1" w:styleId="InformationTok" w:type="character">
    <w:name w:val="InformationTok"/>
    <w:basedOn w:val="VerbatimChar"/>
    <w:rPr>
      <w:rFonts w:ascii="Consolas" w:hAnsi="Consolas"/>
      <w:color w:val="5E5E5E"/>
      <w:sz w:val="22"/>
      <w:shd w:color="auto" w:fill="F1F3F5" w:val="clear"/>
    </w:rPr>
  </w:style>
  <w:style w:customStyle="1" w:styleId="WarningTok" w:type="character">
    <w:name w:val="WarningTok"/>
    <w:basedOn w:val="VerbatimChar"/>
    <w:rPr>
      <w:rFonts w:ascii="Consolas" w:hAnsi="Consolas"/>
      <w:i/>
      <w:color w:val="5E5E5E"/>
      <w:sz w:val="22"/>
      <w:shd w:color="auto" w:fill="F1F3F5" w:val="clear"/>
    </w:rPr>
  </w:style>
  <w:style w:customStyle="1" w:styleId="AlertTok" w:type="character">
    <w:name w:val="AlertTok"/>
    <w:basedOn w:val="VerbatimChar"/>
    <w:rPr>
      <w:rFonts w:ascii="Consolas" w:hAnsi="Consolas"/>
      <w:color w:val="AD0000"/>
      <w:sz w:val="22"/>
      <w:shd w:color="auto" w:fill="F1F3F5" w:val="clear"/>
    </w:rPr>
  </w:style>
  <w:style w:customStyle="1" w:styleId="ErrorTok" w:type="character">
    <w:name w:val="ErrorTok"/>
    <w:basedOn w:val="VerbatimChar"/>
    <w:rPr>
      <w:rFonts w:ascii="Consolas" w:hAnsi="Consolas"/>
      <w:color w:val="AD0000"/>
      <w:sz w:val="22"/>
      <w:shd w:color="auto" w:fill="F1F3F5" w:val="clear"/>
    </w:rPr>
  </w:style>
  <w:style w:customStyle="1" w:styleId="NormalTok" w:type="character">
    <w:name w:val="NormalTok"/>
    <w:basedOn w:val="VerbatimChar"/>
    <w:rPr>
      <w:rFonts w:ascii="Consolas" w:hAnsi="Consolas"/>
      <w:color w:val="003B4F"/>
      <w:sz w:val="22"/>
      <w:shd w:color="auto" w:fill="F1F3F5" w:val="clear"/>
    </w:rPr>
  </w:style>
  <w:style w:styleId="TM1" w:type="paragraph">
    <w:name w:val="toc 1"/>
    <w:basedOn w:val="Normal"/>
    <w:next w:val="Normal"/>
    <w:autoRedefine/>
    <w:uiPriority w:val="39"/>
    <w:unhideWhenUsed/>
    <w:rsid w:val="00AB2D41"/>
    <w:pPr>
      <w:spacing w:after="0" w:before="60"/>
    </w:pPr>
    <w:rPr>
      <w:sz w:val="22"/>
    </w:rPr>
  </w:style>
  <w:style w:styleId="TM2" w:type="paragraph">
    <w:name w:val="toc 2"/>
    <w:basedOn w:val="Normal"/>
    <w:next w:val="Normal"/>
    <w:autoRedefine/>
    <w:uiPriority w:val="39"/>
    <w:unhideWhenUsed/>
    <w:rsid w:val="00AB2D41"/>
    <w:pPr>
      <w:spacing w:after="0"/>
      <w:ind w:left="238"/>
    </w:pPr>
    <w:rPr>
      <w:sz w:val="22"/>
    </w:rPr>
  </w:style>
  <w:style w:styleId="TM3" w:type="paragraph">
    <w:name w:val="toc 3"/>
    <w:basedOn w:val="Normal"/>
    <w:next w:val="Normal"/>
    <w:autoRedefine/>
    <w:uiPriority w:val="39"/>
    <w:unhideWhenUsed/>
    <w:rsid w:val="00AB2D41"/>
    <w:pPr>
      <w:tabs>
        <w:tab w:leader="dot" w:pos="9396" w:val="right"/>
      </w:tabs>
      <w:spacing w:after="0"/>
      <w:ind w:left="482"/>
    </w:pPr>
    <w:rPr>
      <w:noProof/>
      <w:sz w:val="20"/>
    </w:rPr>
  </w:style>
  <w:style w:styleId="TM4" w:type="paragraph">
    <w:name w:val="toc 4"/>
    <w:basedOn w:val="Normal"/>
    <w:next w:val="Normal"/>
    <w:autoRedefine/>
    <w:uiPriority w:val="39"/>
    <w:unhideWhenUsed/>
    <w:rsid w:val="003D4C45"/>
    <w:pPr>
      <w:spacing w:after="100" w:line="259" w:lineRule="auto"/>
      <w:ind w:left="660"/>
    </w:pPr>
    <w:rPr>
      <w:rFonts w:eastAsiaTheme="minorEastAsia"/>
      <w:sz w:val="22"/>
      <w:szCs w:val="22"/>
      <w:lang w:eastAsia="fr-FR" w:val="fr"/>
    </w:rPr>
  </w:style>
  <w:style w:styleId="TM5" w:type="paragraph">
    <w:name w:val="toc 5"/>
    <w:basedOn w:val="Normal"/>
    <w:next w:val="Normal"/>
    <w:autoRedefine/>
    <w:uiPriority w:val="39"/>
    <w:unhideWhenUsed/>
    <w:rsid w:val="003D4C45"/>
    <w:pPr>
      <w:spacing w:after="100" w:line="259" w:lineRule="auto"/>
      <w:ind w:left="880"/>
    </w:pPr>
    <w:rPr>
      <w:rFonts w:eastAsiaTheme="minorEastAsia"/>
      <w:sz w:val="22"/>
      <w:szCs w:val="22"/>
      <w:lang w:eastAsia="fr-FR" w:val="fr"/>
    </w:rPr>
  </w:style>
  <w:style w:styleId="TM6" w:type="paragraph">
    <w:name w:val="toc 6"/>
    <w:basedOn w:val="Normal"/>
    <w:next w:val="Normal"/>
    <w:autoRedefine/>
    <w:uiPriority w:val="39"/>
    <w:unhideWhenUsed/>
    <w:rsid w:val="003D4C45"/>
    <w:pPr>
      <w:spacing w:after="100" w:line="259" w:lineRule="auto"/>
      <w:ind w:left="1100"/>
    </w:pPr>
    <w:rPr>
      <w:rFonts w:eastAsiaTheme="minorEastAsia"/>
      <w:sz w:val="22"/>
      <w:szCs w:val="22"/>
      <w:lang w:eastAsia="fr-FR" w:val="fr"/>
    </w:rPr>
  </w:style>
  <w:style w:styleId="TM7" w:type="paragraph">
    <w:name w:val="toc 7"/>
    <w:basedOn w:val="Normal"/>
    <w:next w:val="Normal"/>
    <w:autoRedefine/>
    <w:uiPriority w:val="39"/>
    <w:unhideWhenUsed/>
    <w:rsid w:val="003D4C45"/>
    <w:pPr>
      <w:spacing w:after="100" w:line="259" w:lineRule="auto"/>
      <w:ind w:left="1320"/>
    </w:pPr>
    <w:rPr>
      <w:rFonts w:eastAsiaTheme="minorEastAsia"/>
      <w:sz w:val="22"/>
      <w:szCs w:val="22"/>
      <w:lang w:eastAsia="fr-FR" w:val="fr"/>
    </w:rPr>
  </w:style>
  <w:style w:styleId="TM8" w:type="paragraph">
    <w:name w:val="toc 8"/>
    <w:basedOn w:val="Normal"/>
    <w:next w:val="Normal"/>
    <w:autoRedefine/>
    <w:uiPriority w:val="39"/>
    <w:unhideWhenUsed/>
    <w:rsid w:val="003D4C45"/>
    <w:pPr>
      <w:spacing w:after="100" w:line="259" w:lineRule="auto"/>
      <w:ind w:left="1540"/>
    </w:pPr>
    <w:rPr>
      <w:rFonts w:eastAsiaTheme="minorEastAsia"/>
      <w:sz w:val="22"/>
      <w:szCs w:val="22"/>
      <w:lang w:eastAsia="fr-FR" w:val="fr"/>
    </w:rPr>
  </w:style>
  <w:style w:styleId="TM9" w:type="paragraph">
    <w:name w:val="toc 9"/>
    <w:basedOn w:val="Normal"/>
    <w:next w:val="Normal"/>
    <w:autoRedefine/>
    <w:uiPriority w:val="39"/>
    <w:unhideWhenUsed/>
    <w:rsid w:val="003D4C45"/>
    <w:pPr>
      <w:spacing w:after="100" w:line="259" w:lineRule="auto"/>
      <w:ind w:left="1760"/>
    </w:pPr>
    <w:rPr>
      <w:rFonts w:eastAsiaTheme="minorEastAsia"/>
      <w:sz w:val="22"/>
      <w:szCs w:val="22"/>
      <w:lang w:eastAsia="fr-FR" w:val="fr"/>
    </w:rPr>
  </w:style>
  <w:style w:styleId="Mentionnonrsolue" w:type="character">
    <w:name w:val="Unresolved Mention"/>
    <w:basedOn w:val="Policepardfaut"/>
    <w:uiPriority w:val="99"/>
    <w:semiHidden/>
    <w:unhideWhenUsed/>
    <w:rsid w:val="003D4C45"/>
    <w:rPr>
      <w:color w:val="605E5C"/>
      <w:shd w:color="auto" w:fill="E1DFDD" w:val="clear"/>
    </w:rPr>
  </w:style>
  <w:style w:customStyle="1" w:styleId="CorpsdetexteCar" w:type="character">
    <w:name w:val="Corps de texte Car"/>
    <w:basedOn w:val="Policepardfaut"/>
    <w:link w:val="Corpsdetexte"/>
    <w:rsid w:val="00AB2D41"/>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Relationships xmlns="http://schemas.openxmlformats.org/package/2006/relationships">
  <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2" Target="media/rId32.png"/>
  <Relationship Type="http://schemas.openxmlformats.org/officeDocument/2006/relationships/image" Id="rId42" Target="media/rId42.png"/>
  <Relationship Type="http://schemas.openxmlformats.org/officeDocument/2006/relationships/image" Id="rId91" Target="media/rId91.png"/>
  <Relationship Type="http://schemas.openxmlformats.org/officeDocument/2006/relationships/image" Id="rId127" Target="media/rId127.png"/>
  <Relationship Type="http://schemas.openxmlformats.org/officeDocument/2006/relationships/image" Id="rId121" Target="media/rId121.png"/>
  <Relationship Type="http://schemas.openxmlformats.org/officeDocument/2006/relationships/image" Id="rId55" Target="media/rId55.png"/>
  <Relationship Type="http://schemas.openxmlformats.org/officeDocument/2006/relationships/image" Id="rId95" Target="media/rId95.png"/>
  <Relationship Type="http://schemas.openxmlformats.org/officeDocument/2006/relationships/image" Id="rId73" Target="media/rId73.png"/>
  <Relationship Type="http://schemas.openxmlformats.org/officeDocument/2006/relationships/image" Id="rId77" Target="media/rId77.png"/>
  <Relationship Type="http://schemas.openxmlformats.org/officeDocument/2006/relationships/image" Id="rId82" Target="media/rId82.png"/>
  <Relationship Type="http://schemas.openxmlformats.org/officeDocument/2006/relationships/image" Id="rId86" Target="media/rId86.png"/>
  <Relationship Type="http://schemas.openxmlformats.org/officeDocument/2006/relationships/image" Id="rId63" Target="media/rId63.png"/>
  <Relationship Type="http://schemas.openxmlformats.org/officeDocument/2006/relationships/image" Id="rId132" Target="media/rId132.png"/>
  <Relationship Type="http://schemas.openxmlformats.org/officeDocument/2006/relationships/image" Id="rId102" Target="media/rId102.png"/>
  <Relationship Type="http://schemas.openxmlformats.org/officeDocument/2006/relationships/image" Id="rId106" Target="media/rId106.png"/>
  <Relationship Type="http://schemas.openxmlformats.org/officeDocument/2006/relationships/image" Id="rId110" Target="media/rId110.png"/>
  <Relationship Type="http://schemas.openxmlformats.org/officeDocument/2006/relationships/image" Id="rId114" Target="media/rId114.png"/>
  <Relationship Type="http://schemas.openxmlformats.org/officeDocument/2006/relationships/image" Id="rId58" Target="media/rId58.png"/>
  <Relationship Type="http://schemas.openxmlformats.org/officeDocument/2006/relationships/image" Id="rId67" Target="media/rId67.png"/>
  <Relationship Type="http://schemas.openxmlformats.org/officeDocument/2006/relationships/image" Id="rId164" Target="media/rId164.png"/>
  <Relationship Type="http://schemas.openxmlformats.org/officeDocument/2006/relationships/image" Id="rId176" Target="media/rId176.png"/>
  <Relationship Type="http://schemas.openxmlformats.org/officeDocument/2006/relationships/image" Id="rId157" Target="media/rId157.png"/>
  <Relationship Type="http://schemas.openxmlformats.org/officeDocument/2006/relationships/image" Id="rId188" Target="media/rId188.png"/>
  <Relationship Type="http://schemas.openxmlformats.org/officeDocument/2006/relationships/image" Id="rId170" Target="media/rId170.png"/>
  <Relationship Type="http://schemas.openxmlformats.org/officeDocument/2006/relationships/image" Id="rId183" Target="media/rId183.png"/>
  <Relationship Type="http://schemas.openxmlformats.org/officeDocument/2006/relationships/image" Id="rId141" Target="media/rId141.png"/>
  <Relationship Type="http://schemas.openxmlformats.org/officeDocument/2006/relationships/image" Id="rId145" Target="media/rId145.png"/>
  <Relationship Type="http://schemas.openxmlformats.org/officeDocument/2006/relationships/image" Id="rId149" Target="media/rId149.png"/>
  <Relationship Type="http://schemas.openxmlformats.org/officeDocument/2006/relationships/image" Id="rId153" Target="media/rId153.png"/>
  <Relationship Type="http://schemas.openxmlformats.org/officeDocument/2006/relationships/image" Id="rId216" Target="media/rId216.png"/>
  <Relationship Type="http://schemas.openxmlformats.org/officeDocument/2006/relationships/image" Id="rId220" Target="media/rId220.png"/>
  <Relationship Type="http://schemas.openxmlformats.org/officeDocument/2006/relationships/image" Id="rId249" Target="media/rId249.png"/>
  <Relationship Type="http://schemas.openxmlformats.org/officeDocument/2006/relationships/image" Id="rId259" Target="media/rId259.png"/>
  <Relationship Type="http://schemas.openxmlformats.org/officeDocument/2006/relationships/image" Id="rId267" Target="media/rId267.png"/>
  <Relationship Type="http://schemas.openxmlformats.org/officeDocument/2006/relationships/image" Id="rId211" Target="media/rId211.png"/>
  <Relationship Type="http://schemas.openxmlformats.org/officeDocument/2006/relationships/image" Id="rId206" Target="media/rId206.png"/>
  <Relationship Type="http://schemas.openxmlformats.org/officeDocument/2006/relationships/image" Id="rId241" Target="media/rId241.png"/>
  <Relationship Type="http://schemas.openxmlformats.org/officeDocument/2006/relationships/image" Id="rId245" Target="media/rId245.png"/>
  <Relationship Type="http://schemas.openxmlformats.org/officeDocument/2006/relationships/image" Id="rId196" Target="media/rId196.png"/>
  <Relationship Type="http://schemas.openxmlformats.org/officeDocument/2006/relationships/image" Id="rId235" Target="media/rId235.png"/>
  <Relationship Type="http://schemas.openxmlformats.org/officeDocument/2006/relationships/image" Id="rId225" Target="media/rId225.png"/>
  <Relationship Type="http://schemas.openxmlformats.org/officeDocument/2006/relationships/image" Id="rId263" Target="media/rId263.png"/>
  <Relationship Type="http://schemas.openxmlformats.org/officeDocument/2006/relationships/image" Id="rId275" Target="media/rId275.png"/>
  <Relationship Type="http://schemas.openxmlformats.org/officeDocument/2006/relationships/image" Id="rId231" Target="media/rId231.png"/>
  <Relationship Type="http://schemas.openxmlformats.org/officeDocument/2006/relationships/image" Id="rId255" Target="media/rId255.png"/>
  <Relationship Type="http://schemas.openxmlformats.org/officeDocument/2006/relationships/image" Id="rId202" Target="media/rId202.png"/>
  <Relationship Type="http://schemas.openxmlformats.org/officeDocument/2006/relationships/image" Id="rId400" Target="media/rId400.png"/>
  <Relationship Type="http://schemas.openxmlformats.org/officeDocument/2006/relationships/image" Id="rId404" Target="media/rId404.png"/>
  <Relationship Type="http://schemas.openxmlformats.org/officeDocument/2006/relationships/image" Id="rId415" Target="media/rId415.png"/>
  <Relationship Type="http://schemas.openxmlformats.org/officeDocument/2006/relationships/image" Id="rId346" Target="media/rId346.png"/>
  <Relationship Type="http://schemas.openxmlformats.org/officeDocument/2006/relationships/image" Id="rId288" Target="media/rId288.png"/>
  <Relationship Type="http://schemas.openxmlformats.org/officeDocument/2006/relationships/image" Id="rId355" Target="media/rId355.png"/>
  <Relationship Type="http://schemas.openxmlformats.org/officeDocument/2006/relationships/image" Id="rId297" Target="media/rId297.png"/>
  <Relationship Type="http://schemas.openxmlformats.org/officeDocument/2006/relationships/image" Id="rId378" Target="media/rId378.png"/>
  <Relationship Type="http://schemas.openxmlformats.org/officeDocument/2006/relationships/image" Id="rId383" Target="media/rId383.png"/>
  <Relationship Type="http://schemas.openxmlformats.org/officeDocument/2006/relationships/image" Id="rId325" Target="media/rId325.png"/>
  <Relationship Type="http://schemas.openxmlformats.org/officeDocument/2006/relationships/image" Id="rId389" Target="media/rId389.png"/>
  <Relationship Type="http://schemas.openxmlformats.org/officeDocument/2006/relationships/image" Id="rId335" Target="media/rId335.png"/>
  <Relationship Type="http://schemas.openxmlformats.org/officeDocument/2006/relationships/image" Id="rId312" Target="media/rId312.png"/>
  <Relationship Type="http://schemas.openxmlformats.org/officeDocument/2006/relationships/image" Id="rId370" Target="media/rId370.png"/>
  <Relationship Type="http://schemas.openxmlformats.org/officeDocument/2006/relationships/image" Id="rId308" Target="media/rId308.png"/>
  <Relationship Type="http://schemas.openxmlformats.org/officeDocument/2006/relationships/image" Id="rId321" Target="media/rId321.png"/>
  <Relationship Type="http://schemas.openxmlformats.org/officeDocument/2006/relationships/image" Id="rId293" Target="media/rId293.png"/>
  <Relationship Type="http://schemas.openxmlformats.org/officeDocument/2006/relationships/image" Id="rId284" Target="media/rId284.png"/>
  <Relationship Type="http://schemas.openxmlformats.org/officeDocument/2006/relationships/image" Id="rId350" Target="media/rId350.png"/>
  <Relationship Type="http://schemas.openxmlformats.org/officeDocument/2006/relationships/image" Id="rId365" Target="media/rId365.png"/>
  <Relationship Type="http://schemas.openxmlformats.org/officeDocument/2006/relationships/image" Id="rId317" Target="media/rId317.png"/>
  <Relationship Type="http://schemas.openxmlformats.org/officeDocument/2006/relationships/image" Id="rId331" Target="media/rId331.png"/>
  <Relationship Type="http://schemas.openxmlformats.org/officeDocument/2006/relationships/image" Id="rId340" Target="media/rId340.png"/>
  <Relationship Type="http://schemas.openxmlformats.org/officeDocument/2006/relationships/image" Id="rId394" Target="media/rId394.png"/>
  <Relationship Type="http://schemas.openxmlformats.org/officeDocument/2006/relationships/image" Id="rId305" Target="media/rId305.png"/>
  <Relationship Type="http://schemas.openxmlformats.org/officeDocument/2006/relationships/image" Id="rId301" Target="media/rId301.png"/>
  <Relationship Type="http://schemas.openxmlformats.org/officeDocument/2006/relationships/image" Id="rId441" Target="media/rId441.png"/>
  <Relationship Type="http://schemas.openxmlformats.org/officeDocument/2006/relationships/image" Id="rId426" Target="media/rId426.png"/>
  <Relationship Type="http://schemas.openxmlformats.org/officeDocument/2006/relationships/image" Id="rId463" Target="media/rId463.png"/>
  <Relationship Type="http://schemas.openxmlformats.org/officeDocument/2006/relationships/image" Id="rId460" Target="media/rId460.png"/>
  <Relationship Type="http://schemas.openxmlformats.org/officeDocument/2006/relationships/image" Id="rId430" Target="media/rId430.png"/>
  <Relationship Type="http://schemas.openxmlformats.org/officeDocument/2006/relationships/image" Id="rId434" Target="media/rId434.png"/>
  <Relationship Type="http://schemas.openxmlformats.org/officeDocument/2006/relationships/image" Id="rId449" Target="media/rId449.png"/>
  <Relationship Type="http://schemas.openxmlformats.org/officeDocument/2006/relationships/image" Id="rId456" Target="media/rId456.png"/>
  <Relationship Type="http://schemas.openxmlformats.org/officeDocument/2006/relationships/image" Id="rId466" Target="media/rId466.png"/>
  <Relationship Type="http://schemas.openxmlformats.org/officeDocument/2006/relationships/image" Id="rId471" Target="media/rId471.png"/>
  <Relationship Type="http://schemas.openxmlformats.org/officeDocument/2006/relationships/image" Id="rId594" Target="media/rId594.png"/>
  <Relationship Type="http://schemas.openxmlformats.org/officeDocument/2006/relationships/image" Id="rId488" Target="media/rId488.png"/>
  <Relationship Type="http://schemas.openxmlformats.org/officeDocument/2006/relationships/image" Id="rId508" Target="media/rId508.png"/>
  <Relationship Type="http://schemas.openxmlformats.org/officeDocument/2006/relationships/image" Id="rId504" Target="media/rId504.png"/>
  <Relationship Type="http://schemas.openxmlformats.org/officeDocument/2006/relationships/image" Id="rId513" Target="media/rId513.png"/>
  <Relationship Type="http://schemas.openxmlformats.org/officeDocument/2006/relationships/image" Id="rId555" Target="media/rId555.png"/>
  <Relationship Type="http://schemas.openxmlformats.org/officeDocument/2006/relationships/image" Id="rId483" Target="media/rId483.png"/>
  <Relationship Type="http://schemas.openxmlformats.org/officeDocument/2006/relationships/image" Id="rId529" Target="media/rId529.png"/>
  <Relationship Type="http://schemas.openxmlformats.org/officeDocument/2006/relationships/image" Id="rId579" Target="media/rId579.png"/>
  <Relationship Type="http://schemas.openxmlformats.org/officeDocument/2006/relationships/image" Id="rId574" Target="media/rId574.png"/>
  <Relationship Type="http://schemas.openxmlformats.org/officeDocument/2006/relationships/image" Id="rId584" Target="media/rId584.png"/>
  <Relationship Type="http://schemas.openxmlformats.org/officeDocument/2006/relationships/image" Id="rId520" Target="media/rId520.png"/>
  <Relationship Type="http://schemas.openxmlformats.org/officeDocument/2006/relationships/image" Id="rId589" Target="media/rId589.png"/>
  <Relationship Type="http://schemas.openxmlformats.org/officeDocument/2006/relationships/image" Id="rId559" Target="media/rId559.png"/>
  <Relationship Type="http://schemas.openxmlformats.org/officeDocument/2006/relationships/image" Id="rId540" Target="media/rId540.png"/>
  <Relationship Type="http://schemas.openxmlformats.org/officeDocument/2006/relationships/image" Id="rId563" Target="media/rId563.png"/>
  <Relationship Type="http://schemas.openxmlformats.org/officeDocument/2006/relationships/image" Id="rId498" Target="media/rId498.png"/>
  <Relationship Type="http://schemas.openxmlformats.org/officeDocument/2006/relationships/image" Id="rId478" Target="media/rId478.png"/>
  <Relationship Type="http://schemas.openxmlformats.org/officeDocument/2006/relationships/image" Id="rId534" Target="media/rId534.png"/>
  <Relationship Type="http://schemas.openxmlformats.org/officeDocument/2006/relationships/image" Id="rId550" Target="media/rId550.png"/>
  <Relationship Type="http://schemas.openxmlformats.org/officeDocument/2006/relationships/image" Id="rId525" Target="media/rId525.png"/>
  <Relationship Type="http://schemas.openxmlformats.org/officeDocument/2006/relationships/image" Id="rId570" Target="media/rId570.png"/>
  <Relationship Type="http://schemas.openxmlformats.org/officeDocument/2006/relationships/image" Id="rId546" Target="media/rId546.png"/>
  <Relationship Type="http://schemas.openxmlformats.org/officeDocument/2006/relationships/image" Id="rId494" Target="media/rId494.png"/>
  <Relationship Type="http://schemas.openxmlformats.org/officeDocument/2006/relationships/image" Id="rId628" Target="media/rId628.png"/>
  <Relationship Type="http://schemas.openxmlformats.org/officeDocument/2006/relationships/image" Id="rId632" Target="media/rId632.png"/>
  <Relationship Type="http://schemas.openxmlformats.org/officeDocument/2006/relationships/image" Id="rId610" Target="media/rId610.png"/>
  <Relationship Type="http://schemas.openxmlformats.org/officeDocument/2006/relationships/image" Id="rId615" Target="media/rId615.png"/>
  <Relationship Type="http://schemas.openxmlformats.org/officeDocument/2006/relationships/image" Id="rId636" Target="media/rId636.png"/>
  <Relationship Type="http://schemas.openxmlformats.org/officeDocument/2006/relationships/image" Id="rId604" Target="media/rId604.png"/>
  <Relationship Type="http://schemas.openxmlformats.org/officeDocument/2006/relationships/image" Id="rId619" Target="media/rId619.png"/>
  <Relationship Type="http://schemas.openxmlformats.org/officeDocument/2006/relationships/image" Id="rId624" Target="media/rId624.png"/>
  <Relationship Type="http://schemas.openxmlformats.org/officeDocument/2006/relationships/image" Id="rId640" Target="media/rId640.png"/>
  <Relationship Type="http://schemas.openxmlformats.org/officeDocument/2006/relationships/image" Id="rId675" Target="media/rId675.png"/>
  <Relationship Type="http://schemas.openxmlformats.org/officeDocument/2006/relationships/image" Id="rId650" Target="media/rId650.png"/>
  <Relationship Type="http://schemas.openxmlformats.org/officeDocument/2006/relationships/image" Id="rId660" Target="media/rId660.png"/>
  <Relationship Type="http://schemas.openxmlformats.org/officeDocument/2006/relationships/image" Id="rId665" Target="media/rId665.png"/>
  <Relationship Type="http://schemas.openxmlformats.org/officeDocument/2006/relationships/image" Id="rId680" Target="media/rId680.png"/>
  <Relationship Type="http://schemas.openxmlformats.org/officeDocument/2006/relationships/image" Id="rId655" Target="media/rId655.png"/>
  <Relationship Type="http://schemas.openxmlformats.org/officeDocument/2006/relationships/image" Id="rId688" Target="media/rId688.png"/>
  <Relationship Type="http://schemas.openxmlformats.org/officeDocument/2006/relationships/image" Id="rId671" Target="media/rId671.png"/>
  <Relationship Type="http://schemas.openxmlformats.org/officeDocument/2006/relationships/image" Id="rId702" Target="media/rId702.png"/>
  <Relationship Type="http://schemas.openxmlformats.org/officeDocument/2006/relationships/image" Id="rId695" Target="media/rId695.png"/>
  <Relationship Type="http://schemas.openxmlformats.org/officeDocument/2006/relationships/image" Id="rId707" Target="media/rId707.png"/>
  <Relationship Type="http://schemas.openxmlformats.org/officeDocument/2006/relationships/image" Id="rId28" Target="media/rId28.png"/>
  <Relationship Type="http://schemas.openxmlformats.org/officeDocument/2006/relationships/image" Id="rId24" Target="media/rId24.png"/>
  <Relationship Type="http://schemas.openxmlformats.org/officeDocument/2006/relationships/image" Id="rId20" Target="media/rId20.png"/>
  <Relationship Id="rId708" Type="http://schemas.openxmlformats.org/officeDocument/2006/relationships/image" Target="media/cover_page.jp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172</Pages>
  <Words>24937</Words>
  <Characters>137156</Characters>
  <Application>Microsoft Office Word</Application>
  <DocSecurity>0</DocSecurity>
  <Lines>1142</Lines>
  <Paragraphs>323</Paragraphs>
  <ScaleCrop>false</ScaleCrop>
  <HeadingPairs>
    <vt:vector size="2" baseType="variant">
      <vt:variant>
        <vt:lpstr>Titre</vt:lpstr>
      </vt:variant>
      <vt:variant>
        <vt:i4>1</vt:i4>
      </vt:variant>
    </vt:vector>
  </HeadingPairs>
  <TitlesOfParts>
    <vt:vector size="1" baseType="lpstr">
      <vt:lpstr>Campagne 2025 des Observatoires ruraux d’Alaotra et Marovoay</vt:lpstr>
    </vt:vector>
  </TitlesOfParts>
  <Company/>
  <LinksUpToDate>false</LinksUpToDate>
  <CharactersWithSpaces>161770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Campagne 2025 de l’Observatoire rural de Marovoay</dc:title>
  <dc:creator>Veromanitra Ramizason; Bezaka Rivolala; Thierry Razanakoto; Holimalala Randriamanampisoa; Florent Bédécarrats</dc:creator>
  <dc:language>fr</dc:language>
  <cp:keywords/>
  <dcterms:created xsi:type="dcterms:W3CDTF">2026-03-24T21:16:17Z</dcterms:created>
  <dcterms:modified xsi:type="dcterms:W3CDTF">2026-03-24T21:16:17Z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rossref">
    <vt:lpwstr/>
  </property>
  <property fmtid="{D5CDD505-2E9C-101B-9397-08002B2CF9AE}" pid="8" name="date">
    <vt:lpwstr>2026-03-24</vt:lpwstr>
  </property>
  <property fmtid="{D5CDD505-2E9C-101B-9397-08002B2CF9AE}" pid="9" name="fig-cap-location">
    <vt:lpwstr>top</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subtitle">
    <vt:lpwstr>Rapport d’enquête</vt:lpwstr>
  </property>
  <property fmtid="{D5CDD505-2E9C-101B-9397-08002B2CF9AE}" pid="15" name="template-partials">
    <vt:lpwstr/>
  </property>
  <property fmtid="{D5CDD505-2E9C-101B-9397-08002B2CF9AE}" pid="16" name="toc-title">
    <vt:lpwstr>Table des matières</vt:lpwstr>
  </property>
</Properties>
</file>